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16FD" w14:textId="60C93EF3" w:rsidR="00AF09D5" w:rsidRPr="005E62CE" w:rsidRDefault="00620A32" w:rsidP="00AF09D5">
      <w:pPr>
        <w:rPr>
          <w:rFonts w:ascii="Arial" w:hAnsi="Arial" w:cs="Arial"/>
          <w:b/>
          <w:color w:val="027180" w:themeColor="accent1"/>
          <w:sz w:val="46"/>
          <w:szCs w:val="46"/>
        </w:rPr>
      </w:pPr>
      <w:r w:rsidRPr="005E62CE">
        <w:rPr>
          <w:rFonts w:ascii="Arial" w:hAnsi="Arial" w:cs="Arial"/>
          <w:b/>
          <w:color w:val="00008F" w:themeColor="text2"/>
          <w:sz w:val="46"/>
          <w:szCs w:val="46"/>
        </w:rPr>
        <w:t xml:space="preserve">Coronavirus : </w:t>
      </w:r>
      <w:r w:rsidRPr="005E62CE">
        <w:rPr>
          <w:rFonts w:ascii="Arial" w:hAnsi="Arial" w:cs="Arial"/>
          <w:b/>
          <w:color w:val="027180" w:themeColor="accent1"/>
          <w:sz w:val="46"/>
          <w:szCs w:val="46"/>
        </w:rPr>
        <w:t>les investissements ESG ont fait preuve d’une résilience accrue face à la baisse des marchés au 1</w:t>
      </w:r>
      <w:r w:rsidRPr="005E62CE">
        <w:rPr>
          <w:rFonts w:ascii="Arial" w:hAnsi="Arial" w:cs="Arial"/>
          <w:b/>
          <w:color w:val="027180" w:themeColor="accent1"/>
          <w:sz w:val="46"/>
          <w:szCs w:val="46"/>
          <w:vertAlign w:val="superscript"/>
        </w:rPr>
        <w:t>er</w:t>
      </w:r>
      <w:r w:rsidRPr="005E62CE">
        <w:rPr>
          <w:rFonts w:ascii="Arial" w:hAnsi="Arial" w:cs="Arial"/>
          <w:b/>
          <w:color w:val="027180" w:themeColor="accent1"/>
          <w:sz w:val="46"/>
          <w:szCs w:val="46"/>
        </w:rPr>
        <w:t xml:space="preserve"> trimestre</w:t>
      </w:r>
    </w:p>
    <w:p w14:paraId="55F13CE5" w14:textId="77777777" w:rsidR="00620A32" w:rsidRPr="005E62CE" w:rsidRDefault="00620A32" w:rsidP="00AF09D5">
      <w:pPr>
        <w:rPr>
          <w:rFonts w:ascii="Arial" w:hAnsi="Arial" w:cs="Arial"/>
          <w:sz w:val="46"/>
          <w:szCs w:val="46"/>
        </w:rPr>
      </w:pPr>
    </w:p>
    <w:p w14:paraId="44D24060" w14:textId="2CD1F162" w:rsidR="00AF09D5" w:rsidRPr="005E62CE" w:rsidRDefault="0052214F" w:rsidP="00AF09D5">
      <w:pPr>
        <w:rPr>
          <w:rFonts w:ascii="Arial" w:hAnsi="Arial" w:cs="Arial"/>
        </w:rPr>
      </w:pPr>
      <w:r w:rsidRPr="005E62CE">
        <w:rPr>
          <w:rFonts w:ascii="Arial" w:hAnsi="Arial" w:cs="Arial"/>
          <w:noProof/>
          <w:lang w:eastAsia="fr-FR"/>
        </w:rPr>
        <w:drawing>
          <wp:anchor distT="0" distB="0" distL="114300" distR="114300" simplePos="0" relativeHeight="251659264" behindDoc="0" locked="0" layoutInCell="1" allowOverlap="1" wp14:anchorId="56BAD78F" wp14:editId="2333883B">
            <wp:simplePos x="0" y="0"/>
            <wp:positionH relativeFrom="column">
              <wp:posOffset>3674110</wp:posOffset>
            </wp:positionH>
            <wp:positionV relativeFrom="paragraph">
              <wp:posOffset>53975</wp:posOffset>
            </wp:positionV>
            <wp:extent cx="832485" cy="78486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 Takatsuki profile pic.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32485" cy="784860"/>
                    </a:xfrm>
                    <a:prstGeom prst="rect">
                      <a:avLst/>
                    </a:prstGeom>
                  </pic:spPr>
                </pic:pic>
              </a:graphicData>
            </a:graphic>
            <wp14:sizeRelH relativeFrom="margin">
              <wp14:pctWidth>0</wp14:pctWidth>
            </wp14:sizeRelH>
            <wp14:sizeRelV relativeFrom="margin">
              <wp14:pctHeight>0</wp14:pctHeight>
            </wp14:sizeRelV>
          </wp:anchor>
        </w:drawing>
      </w:r>
      <w:r w:rsidR="00AF09D5" w:rsidRPr="005E62CE">
        <w:rPr>
          <w:rFonts w:ascii="Arial" w:hAnsi="Arial" w:cs="Arial"/>
          <w:noProof/>
          <w:lang w:eastAsia="fr-FR"/>
        </w:rPr>
        <w:drawing>
          <wp:anchor distT="0" distB="0" distL="114300" distR="114300" simplePos="0" relativeHeight="251658240" behindDoc="1" locked="0" layoutInCell="1" allowOverlap="1" wp14:anchorId="505AA81C" wp14:editId="0D25FD45">
            <wp:simplePos x="0" y="0"/>
            <wp:positionH relativeFrom="column">
              <wp:posOffset>38735</wp:posOffset>
            </wp:positionH>
            <wp:positionV relativeFrom="paragraph">
              <wp:posOffset>55880</wp:posOffset>
            </wp:positionV>
            <wp:extent cx="801370" cy="822960"/>
            <wp:effectExtent l="0" t="0" r="0" b="0"/>
            <wp:wrapSquare wrapText="bothSides"/>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168.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801370"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FC89AD" w14:textId="77777777" w:rsidR="00AF09D5" w:rsidRPr="005E62CE" w:rsidRDefault="00AF09D5" w:rsidP="00AF09D5">
      <w:pPr>
        <w:rPr>
          <w:rFonts w:ascii="Arial" w:hAnsi="Arial" w:cs="Arial"/>
        </w:rPr>
        <w:sectPr w:rsidR="00AF09D5" w:rsidRPr="005E62CE" w:rsidSect="005E62CE">
          <w:headerReference w:type="even" r:id="rId10"/>
          <w:headerReference w:type="default" r:id="rId11"/>
          <w:footerReference w:type="even" r:id="rId12"/>
          <w:footerReference w:type="default" r:id="rId13"/>
          <w:headerReference w:type="first" r:id="rId14"/>
          <w:footerReference w:type="first" r:id="rId15"/>
          <w:pgSz w:w="11906" w:h="16838"/>
          <w:pgMar w:top="2552" w:right="851" w:bottom="1440" w:left="794" w:header="851" w:footer="567" w:gutter="0"/>
          <w:cols w:space="708"/>
          <w:titlePg/>
          <w:docGrid w:linePitch="360"/>
        </w:sectPr>
      </w:pPr>
    </w:p>
    <w:p w14:paraId="033A93C8" w14:textId="77777777" w:rsidR="006E1E68" w:rsidRPr="005E62CE" w:rsidRDefault="006E1E68" w:rsidP="00CA0EAA">
      <w:pPr>
        <w:rPr>
          <w:rFonts w:ascii="Arial" w:hAnsi="Arial" w:cs="Arial"/>
          <w:b/>
          <w:noProof/>
          <w:color w:val="00008F"/>
          <w:sz w:val="28"/>
          <w:szCs w:val="30"/>
        </w:rPr>
      </w:pPr>
    </w:p>
    <w:p w14:paraId="794422A4" w14:textId="77777777" w:rsidR="006E1E68" w:rsidRPr="005E62CE" w:rsidRDefault="006E1E68" w:rsidP="00CA0EAA">
      <w:pPr>
        <w:rPr>
          <w:rFonts w:ascii="Arial" w:hAnsi="Arial" w:cs="Arial"/>
          <w:b/>
          <w:noProof/>
          <w:color w:val="00008F"/>
          <w:sz w:val="28"/>
          <w:szCs w:val="30"/>
        </w:rPr>
      </w:pPr>
    </w:p>
    <w:p w14:paraId="20EAB0C8" w14:textId="06CD80F1" w:rsidR="0052214F" w:rsidRPr="00EA4335" w:rsidRDefault="00CA0EAA" w:rsidP="0052214F">
      <w:pPr>
        <w:ind w:left="1440" w:right="-426" w:hanging="1440"/>
        <w:rPr>
          <w:rFonts w:ascii="Arial" w:hAnsi="Arial" w:cs="Arial"/>
          <w:b/>
          <w:i/>
          <w:color w:val="00008F"/>
          <w:sz w:val="16"/>
          <w:szCs w:val="22"/>
        </w:rPr>
      </w:pPr>
      <w:r w:rsidRPr="005E62CE">
        <w:rPr>
          <w:rFonts w:ascii="Arial" w:hAnsi="Arial" w:cs="Arial"/>
          <w:b/>
          <w:color w:val="00008F"/>
          <w:sz w:val="16"/>
          <w:szCs w:val="22"/>
        </w:rPr>
        <w:t>Thomas </w:t>
      </w:r>
      <w:proofErr w:type="spellStart"/>
      <w:r w:rsidRPr="005E62CE">
        <w:rPr>
          <w:rFonts w:ascii="Arial" w:hAnsi="Arial" w:cs="Arial"/>
          <w:b/>
          <w:color w:val="00008F"/>
          <w:sz w:val="16"/>
          <w:szCs w:val="22"/>
        </w:rPr>
        <w:t>Roulland</w:t>
      </w:r>
      <w:proofErr w:type="spellEnd"/>
      <w:r w:rsidRPr="005E62CE">
        <w:rPr>
          <w:rFonts w:ascii="Arial" w:hAnsi="Arial" w:cs="Arial"/>
          <w:b/>
          <w:color w:val="00008F"/>
          <w:sz w:val="16"/>
          <w:szCs w:val="22"/>
        </w:rPr>
        <w:t>, CFA, FRM, CIPM</w:t>
      </w:r>
      <w:r w:rsidR="00EA4335">
        <w:rPr>
          <w:rFonts w:ascii="Arial" w:hAnsi="Arial" w:cs="Arial"/>
          <w:b/>
          <w:color w:val="00008F"/>
          <w:sz w:val="16"/>
          <w:szCs w:val="22"/>
        </w:rPr>
        <w:tab/>
      </w:r>
      <w:r w:rsidR="00EA4335">
        <w:rPr>
          <w:rFonts w:ascii="Arial" w:hAnsi="Arial" w:cs="Arial"/>
          <w:b/>
          <w:color w:val="00008F"/>
          <w:sz w:val="16"/>
          <w:szCs w:val="22"/>
        </w:rPr>
        <w:tab/>
      </w:r>
      <w:r w:rsidR="00EA4335">
        <w:rPr>
          <w:rFonts w:ascii="Arial" w:hAnsi="Arial" w:cs="Arial"/>
          <w:b/>
          <w:color w:val="00008F"/>
          <w:sz w:val="16"/>
          <w:szCs w:val="22"/>
        </w:rPr>
        <w:tab/>
      </w:r>
      <w:r w:rsidR="00EA4335">
        <w:rPr>
          <w:rFonts w:ascii="Arial" w:hAnsi="Arial" w:cs="Arial"/>
          <w:b/>
          <w:color w:val="00008F"/>
          <w:sz w:val="16"/>
          <w:szCs w:val="22"/>
        </w:rPr>
        <w:tab/>
      </w:r>
      <w:r w:rsidR="00EA4335">
        <w:rPr>
          <w:rFonts w:ascii="Arial" w:hAnsi="Arial" w:cs="Arial"/>
          <w:b/>
          <w:color w:val="00008F"/>
          <w:sz w:val="16"/>
          <w:szCs w:val="22"/>
        </w:rPr>
        <w:tab/>
      </w:r>
      <w:r w:rsidRPr="005E62CE">
        <w:rPr>
          <w:rFonts w:ascii="Arial" w:hAnsi="Arial" w:cs="Arial"/>
          <w:b/>
          <w:color w:val="00008F"/>
          <w:sz w:val="16"/>
          <w:szCs w:val="22"/>
        </w:rPr>
        <w:t>Yo Takatsuki</w:t>
      </w:r>
      <w:r w:rsidRPr="005E62CE">
        <w:rPr>
          <w:rFonts w:ascii="Arial" w:hAnsi="Arial" w:cs="Arial"/>
          <w:b/>
          <w:color w:val="00008F"/>
          <w:sz w:val="16"/>
          <w:szCs w:val="22"/>
        </w:rPr>
        <w:br/>
      </w:r>
      <w:r w:rsidRPr="00EA4335">
        <w:rPr>
          <w:rFonts w:ascii="Arial" w:hAnsi="Arial" w:cs="Arial"/>
          <w:b/>
          <w:i/>
          <w:color w:val="00008F"/>
          <w:sz w:val="16"/>
          <w:szCs w:val="22"/>
        </w:rPr>
        <w:t>Responsable des solutions, modèles et outils</w:t>
      </w:r>
      <w:r w:rsidR="00EA4335" w:rsidRPr="00EA4335">
        <w:rPr>
          <w:rFonts w:ascii="Arial" w:hAnsi="Arial" w:cs="Arial"/>
          <w:b/>
          <w:i/>
          <w:color w:val="00008F"/>
          <w:sz w:val="16"/>
          <w:szCs w:val="22"/>
        </w:rPr>
        <w:tab/>
      </w:r>
      <w:r w:rsidR="00EA4335" w:rsidRPr="00EA4335">
        <w:rPr>
          <w:rFonts w:ascii="Arial" w:hAnsi="Arial" w:cs="Arial"/>
          <w:b/>
          <w:i/>
          <w:color w:val="00008F"/>
          <w:sz w:val="16"/>
          <w:szCs w:val="22"/>
        </w:rPr>
        <w:tab/>
      </w:r>
      <w:r w:rsidR="00EA4335" w:rsidRPr="00EA4335">
        <w:rPr>
          <w:rFonts w:ascii="Arial" w:hAnsi="Arial" w:cs="Arial"/>
          <w:b/>
          <w:i/>
          <w:color w:val="00008F"/>
          <w:sz w:val="16"/>
          <w:szCs w:val="22"/>
        </w:rPr>
        <w:tab/>
      </w:r>
      <w:r w:rsidR="00EA4335" w:rsidRPr="00EA4335">
        <w:rPr>
          <w:rFonts w:ascii="Arial" w:hAnsi="Arial" w:cs="Arial"/>
          <w:b/>
          <w:i/>
          <w:color w:val="00008F"/>
          <w:sz w:val="16"/>
          <w:szCs w:val="22"/>
        </w:rPr>
        <w:tab/>
      </w:r>
      <w:r w:rsidRPr="00EA4335">
        <w:rPr>
          <w:rFonts w:ascii="Arial" w:hAnsi="Arial" w:cs="Arial"/>
          <w:b/>
          <w:i/>
          <w:color w:val="00008F"/>
          <w:sz w:val="16"/>
          <w:szCs w:val="22"/>
        </w:rPr>
        <w:t>Responsable de la recherche ESG et d</w:t>
      </w:r>
      <w:r w:rsidR="0052214F" w:rsidRPr="00EA4335">
        <w:rPr>
          <w:rFonts w:ascii="Arial" w:hAnsi="Arial" w:cs="Arial"/>
          <w:b/>
          <w:i/>
          <w:color w:val="00008F"/>
          <w:sz w:val="16"/>
          <w:szCs w:val="22"/>
        </w:rPr>
        <w:t xml:space="preserve">e </w:t>
      </w:r>
    </w:p>
    <w:p w14:paraId="45F1D641" w14:textId="608504C3" w:rsidR="00CA0EAA" w:rsidRPr="00EA4335" w:rsidRDefault="00EA4335" w:rsidP="00EA4335">
      <w:pPr>
        <w:ind w:left="1440" w:right="-426" w:hanging="1440"/>
        <w:rPr>
          <w:rFonts w:ascii="Arial" w:hAnsi="Arial" w:cs="Arial"/>
          <w:b/>
          <w:i/>
          <w:color w:val="00008F"/>
          <w:sz w:val="16"/>
          <w:szCs w:val="22"/>
        </w:rPr>
      </w:pPr>
      <w:r>
        <w:rPr>
          <w:rFonts w:ascii="Arial" w:hAnsi="Arial" w:cs="Arial"/>
          <w:b/>
          <w:i/>
          <w:color w:val="00008F"/>
          <w:sz w:val="16"/>
          <w:szCs w:val="22"/>
        </w:rPr>
        <w:t>d'</w:t>
      </w:r>
      <w:r w:rsidRPr="00EA4335">
        <w:rPr>
          <w:rFonts w:ascii="Arial" w:hAnsi="Arial" w:cs="Arial"/>
          <w:b/>
          <w:i/>
          <w:color w:val="00008F"/>
          <w:sz w:val="16"/>
          <w:szCs w:val="22"/>
        </w:rPr>
        <w:t>investissement responsable</w:t>
      </w:r>
      <w:r w:rsidRPr="00EA4335">
        <w:rPr>
          <w:rFonts w:ascii="Arial" w:hAnsi="Arial" w:cs="Arial"/>
          <w:b/>
          <w:i/>
          <w:color w:val="00008F"/>
          <w:sz w:val="16"/>
          <w:szCs w:val="22"/>
        </w:rPr>
        <w:tab/>
      </w:r>
      <w:r w:rsidRPr="00EA4335">
        <w:rPr>
          <w:rFonts w:ascii="Arial" w:hAnsi="Arial" w:cs="Arial"/>
          <w:b/>
          <w:i/>
          <w:color w:val="00008F"/>
          <w:sz w:val="16"/>
          <w:szCs w:val="22"/>
        </w:rPr>
        <w:tab/>
      </w:r>
      <w:r w:rsidRPr="00EA4335">
        <w:rPr>
          <w:rFonts w:ascii="Arial" w:hAnsi="Arial" w:cs="Arial"/>
          <w:b/>
          <w:i/>
          <w:color w:val="00008F"/>
          <w:sz w:val="16"/>
          <w:szCs w:val="22"/>
        </w:rPr>
        <w:tab/>
      </w:r>
      <w:r w:rsidRPr="00EA4335">
        <w:rPr>
          <w:rFonts w:ascii="Arial" w:hAnsi="Arial" w:cs="Arial"/>
          <w:b/>
          <w:i/>
          <w:color w:val="00008F"/>
          <w:sz w:val="16"/>
          <w:szCs w:val="22"/>
        </w:rPr>
        <w:tab/>
      </w:r>
      <w:r w:rsidRPr="00EA4335">
        <w:rPr>
          <w:rFonts w:ascii="Arial" w:hAnsi="Arial" w:cs="Arial"/>
          <w:b/>
          <w:i/>
          <w:color w:val="00008F"/>
          <w:sz w:val="16"/>
          <w:szCs w:val="22"/>
        </w:rPr>
        <w:tab/>
      </w:r>
      <w:r w:rsidR="00CA0EAA" w:rsidRPr="00EA4335">
        <w:rPr>
          <w:rFonts w:ascii="Arial" w:hAnsi="Arial" w:cs="Arial"/>
          <w:b/>
          <w:i/>
          <w:color w:val="00008F"/>
          <w:sz w:val="16"/>
          <w:szCs w:val="22"/>
        </w:rPr>
        <w:t>l’actionnariat actif</w:t>
      </w:r>
    </w:p>
    <w:p w14:paraId="69B562F0" w14:textId="77777777" w:rsidR="006E1E68" w:rsidRPr="00EA4335" w:rsidRDefault="006E1E68" w:rsidP="00CA0EAA">
      <w:pPr>
        <w:rPr>
          <w:rFonts w:ascii="Arial" w:hAnsi="Arial" w:cs="Arial"/>
          <w:b/>
          <w:i/>
          <w:noProof/>
          <w:color w:val="00008F"/>
          <w:sz w:val="28"/>
          <w:szCs w:val="30"/>
        </w:rPr>
      </w:pPr>
    </w:p>
    <w:p w14:paraId="6EA17D88" w14:textId="77777777" w:rsidR="006E1E68" w:rsidRPr="005E62CE" w:rsidRDefault="00CA0EAA" w:rsidP="00CA0EAA">
      <w:pPr>
        <w:rPr>
          <w:rFonts w:ascii="Arial" w:hAnsi="Arial" w:cs="Arial"/>
          <w:b/>
          <w:noProof/>
          <w:color w:val="00008F"/>
          <w:sz w:val="30"/>
          <w:szCs w:val="30"/>
        </w:rPr>
      </w:pPr>
      <w:r w:rsidRPr="005E62CE">
        <w:rPr>
          <w:rFonts w:ascii="Arial" w:hAnsi="Arial" w:cs="Arial"/>
          <w:b/>
          <w:color w:val="00008F"/>
          <w:sz w:val="30"/>
          <w:szCs w:val="30"/>
        </w:rPr>
        <w:t xml:space="preserve">  </w:t>
      </w:r>
    </w:p>
    <w:p w14:paraId="4459BD45" w14:textId="77777777" w:rsidR="00FB734E" w:rsidRPr="005E62CE" w:rsidRDefault="008D0F68" w:rsidP="0052214F">
      <w:pPr>
        <w:spacing w:after="120"/>
        <w:rPr>
          <w:rFonts w:ascii="Arial" w:hAnsi="Arial" w:cs="Arial"/>
          <w:b/>
          <w:noProof/>
          <w:color w:val="00008F"/>
          <w:sz w:val="24"/>
          <w:szCs w:val="24"/>
        </w:rPr>
      </w:pPr>
      <w:r w:rsidRPr="005E62CE">
        <w:rPr>
          <w:rFonts w:ascii="Arial" w:hAnsi="Arial" w:cs="Arial"/>
          <w:b/>
          <w:color w:val="00008F"/>
          <w:sz w:val="24"/>
          <w:szCs w:val="24"/>
        </w:rPr>
        <w:t>Synthèse</w:t>
      </w:r>
    </w:p>
    <w:p w14:paraId="41BEEB70" w14:textId="016D9365" w:rsidR="008D0F68" w:rsidRPr="005E62CE" w:rsidRDefault="00B44D00" w:rsidP="0082557B">
      <w:pPr>
        <w:pStyle w:val="Paragraphedeliste"/>
        <w:numPr>
          <w:ilvl w:val="0"/>
          <w:numId w:val="7"/>
        </w:numPr>
        <w:spacing w:before="60" w:after="60"/>
        <w:ind w:left="851" w:hanging="567"/>
        <w:rPr>
          <w:rFonts w:ascii="Arial" w:hAnsi="Arial" w:cs="Arial"/>
        </w:rPr>
      </w:pPr>
      <w:r w:rsidRPr="005E62CE">
        <w:rPr>
          <w:rFonts w:ascii="Arial" w:hAnsi="Arial" w:cs="Arial"/>
        </w:rPr>
        <w:t>Selon l’a</w:t>
      </w:r>
      <w:r w:rsidR="008D0F68" w:rsidRPr="005E62CE">
        <w:rPr>
          <w:rFonts w:ascii="Arial" w:hAnsi="Arial" w:cs="Arial"/>
        </w:rPr>
        <w:t>nalyse d’AXA IM</w:t>
      </w:r>
      <w:r w:rsidRPr="005E62CE">
        <w:rPr>
          <w:rFonts w:ascii="Arial" w:hAnsi="Arial" w:cs="Arial"/>
        </w:rPr>
        <w:t>, l’</w:t>
      </w:r>
      <w:r w:rsidR="008D0F68" w:rsidRPr="005E62CE">
        <w:rPr>
          <w:rFonts w:ascii="Arial" w:hAnsi="Arial" w:cs="Arial"/>
        </w:rPr>
        <w:t xml:space="preserve">investissement dans les entreprises </w:t>
      </w:r>
      <w:r w:rsidR="000477ED" w:rsidRPr="005E62CE">
        <w:rPr>
          <w:rFonts w:ascii="Arial" w:hAnsi="Arial" w:cs="Arial"/>
        </w:rPr>
        <w:t xml:space="preserve">qui </w:t>
      </w:r>
      <w:r w:rsidR="003075AE" w:rsidRPr="005E62CE">
        <w:rPr>
          <w:rFonts w:ascii="Arial" w:hAnsi="Arial" w:cs="Arial"/>
        </w:rPr>
        <w:t>affichent</w:t>
      </w:r>
      <w:r w:rsidR="008D0F68" w:rsidRPr="005E62CE">
        <w:rPr>
          <w:rFonts w:ascii="Arial" w:hAnsi="Arial" w:cs="Arial"/>
        </w:rPr>
        <w:t xml:space="preserve"> les notes ESG (environnementales, sociales et de gouvernance) les plus élevées a </w:t>
      </w:r>
      <w:r w:rsidRPr="005E62CE">
        <w:rPr>
          <w:rFonts w:ascii="Arial" w:hAnsi="Arial" w:cs="Arial"/>
        </w:rPr>
        <w:t xml:space="preserve">montré beaucoup plus de </w:t>
      </w:r>
      <w:r w:rsidR="008D0F68" w:rsidRPr="005E62CE">
        <w:rPr>
          <w:rFonts w:ascii="Arial" w:hAnsi="Arial" w:cs="Arial"/>
        </w:rPr>
        <w:t>résilien</w:t>
      </w:r>
      <w:r w:rsidR="007A534D" w:rsidRPr="005E62CE">
        <w:rPr>
          <w:rFonts w:ascii="Arial" w:hAnsi="Arial" w:cs="Arial"/>
        </w:rPr>
        <w:t>c</w:t>
      </w:r>
      <w:r w:rsidR="008D0F68" w:rsidRPr="005E62CE">
        <w:rPr>
          <w:rFonts w:ascii="Arial" w:hAnsi="Arial" w:cs="Arial"/>
        </w:rPr>
        <w:t>e dans ce contexte de baisse du marché liée à l’épidémie de coronavirus que dans les sociétés les moins bien notées.</w:t>
      </w:r>
    </w:p>
    <w:p w14:paraId="545B0CB1" w14:textId="259EAA9C" w:rsidR="008D0F68" w:rsidRPr="005E62CE" w:rsidRDefault="008D0F68" w:rsidP="0082557B">
      <w:pPr>
        <w:pStyle w:val="Paragraphedeliste"/>
        <w:numPr>
          <w:ilvl w:val="0"/>
          <w:numId w:val="7"/>
        </w:numPr>
        <w:spacing w:before="60" w:after="60"/>
        <w:ind w:left="851" w:hanging="567"/>
        <w:rPr>
          <w:rFonts w:ascii="Arial" w:hAnsi="Arial" w:cs="Arial"/>
        </w:rPr>
      </w:pPr>
      <w:r w:rsidRPr="005E62CE">
        <w:rPr>
          <w:rFonts w:ascii="Arial" w:hAnsi="Arial" w:cs="Arial"/>
        </w:rPr>
        <w:t xml:space="preserve">Un panier d’actions d’entreprises leaders sur le plan ESG a surperformé les </w:t>
      </w:r>
      <w:r w:rsidR="00620A32" w:rsidRPr="005E62CE">
        <w:rPr>
          <w:rFonts w:ascii="Arial" w:hAnsi="Arial" w:cs="Arial"/>
        </w:rPr>
        <w:t>actions d’entreprises à la traîne en matière d’ESG</w:t>
      </w:r>
      <w:r w:rsidRPr="005E62CE">
        <w:rPr>
          <w:rFonts w:ascii="Arial" w:hAnsi="Arial" w:cs="Arial"/>
        </w:rPr>
        <w:t xml:space="preserve"> de 16,8 points de pourcentage au premier trimestre 2020. </w:t>
      </w:r>
    </w:p>
    <w:p w14:paraId="4402B672" w14:textId="2A57B3D0" w:rsidR="008D0F68" w:rsidRPr="005E62CE" w:rsidRDefault="008D0F68" w:rsidP="0082557B">
      <w:pPr>
        <w:pStyle w:val="Paragraphedeliste"/>
        <w:numPr>
          <w:ilvl w:val="0"/>
          <w:numId w:val="7"/>
        </w:numPr>
        <w:spacing w:before="60" w:after="60"/>
        <w:ind w:left="851" w:hanging="567"/>
        <w:rPr>
          <w:rFonts w:ascii="Arial" w:hAnsi="Arial" w:cs="Arial"/>
        </w:rPr>
      </w:pPr>
      <w:r w:rsidRPr="005E62CE">
        <w:rPr>
          <w:rFonts w:ascii="Arial" w:hAnsi="Arial" w:cs="Arial"/>
        </w:rPr>
        <w:t>Un panier d’obligations d’entreprises leaders sur le plan ESG a surperformé les</w:t>
      </w:r>
      <w:r w:rsidR="00620A32" w:rsidRPr="005E62CE">
        <w:rPr>
          <w:rFonts w:ascii="Arial" w:hAnsi="Arial" w:cs="Arial"/>
        </w:rPr>
        <w:t xml:space="preserve"> obligations d’entreprises à la traîne en matière d’ESG de</w:t>
      </w:r>
      <w:r w:rsidRPr="005E62CE">
        <w:rPr>
          <w:rFonts w:ascii="Arial" w:hAnsi="Arial" w:cs="Arial"/>
        </w:rPr>
        <w:t xml:space="preserve"> 5,2 points de pourcentage sur la même période.</w:t>
      </w:r>
    </w:p>
    <w:p w14:paraId="371E0C94" w14:textId="1ADBDAA8" w:rsidR="008D0F68" w:rsidRPr="005E62CE" w:rsidRDefault="008D0F68" w:rsidP="0082557B">
      <w:pPr>
        <w:pStyle w:val="Paragraphedeliste"/>
        <w:numPr>
          <w:ilvl w:val="0"/>
          <w:numId w:val="7"/>
        </w:numPr>
        <w:spacing w:before="60" w:after="60"/>
        <w:ind w:left="851" w:hanging="567"/>
        <w:rPr>
          <w:rFonts w:ascii="Arial" w:hAnsi="Arial" w:cs="Arial"/>
        </w:rPr>
      </w:pPr>
      <w:r w:rsidRPr="005E62CE">
        <w:rPr>
          <w:rFonts w:ascii="Arial" w:hAnsi="Arial" w:cs="Arial"/>
        </w:rPr>
        <w:t>Pour ces deux classes d’actifs, le panier des entreprises leaders sur le plan ESG a également surperformé l’indice de référence.</w:t>
      </w:r>
    </w:p>
    <w:p w14:paraId="16D56974" w14:textId="7F60161A" w:rsidR="008D0F68" w:rsidRPr="005E62CE" w:rsidRDefault="008D0F68" w:rsidP="0082557B">
      <w:pPr>
        <w:pStyle w:val="Paragraphedeliste"/>
        <w:numPr>
          <w:ilvl w:val="0"/>
          <w:numId w:val="7"/>
        </w:numPr>
        <w:spacing w:before="60" w:after="60"/>
        <w:ind w:left="851" w:hanging="567"/>
        <w:rPr>
          <w:rFonts w:ascii="Arial" w:hAnsi="Arial" w:cs="Arial"/>
        </w:rPr>
      </w:pPr>
      <w:r w:rsidRPr="005E62CE">
        <w:rPr>
          <w:rFonts w:ascii="Arial" w:hAnsi="Arial" w:cs="Arial"/>
        </w:rPr>
        <w:t>Dans une analyse distincte, nous approfondissons notre étude de l’impact de nos politiques d’exclusion des investissements. Nous montrons qu’un portefeuille d’actions appliquant nos listes d’exclusion a surperformé l’indice de référence de 47 points de base.</w:t>
      </w:r>
    </w:p>
    <w:p w14:paraId="143B38E5" w14:textId="77777777" w:rsidR="008D0F68" w:rsidRPr="005E62CE" w:rsidRDefault="008D0F68" w:rsidP="008D0F68">
      <w:pPr>
        <w:rPr>
          <w:rFonts w:ascii="Arial" w:hAnsi="Arial" w:cs="Arial"/>
        </w:rPr>
      </w:pPr>
    </w:p>
    <w:p w14:paraId="5C2AB571" w14:textId="67346CA9" w:rsidR="008D0F68" w:rsidRPr="005E62CE" w:rsidRDefault="008D0F68" w:rsidP="008D0F68">
      <w:pPr>
        <w:spacing w:before="60" w:after="60"/>
        <w:rPr>
          <w:rFonts w:ascii="Arial" w:hAnsi="Arial" w:cs="Arial"/>
        </w:rPr>
      </w:pPr>
      <w:r w:rsidRPr="005E62CE">
        <w:rPr>
          <w:rFonts w:ascii="Arial" w:hAnsi="Arial" w:cs="Arial"/>
        </w:rPr>
        <w:t>La croissance de l’investissement responsable sur les dix dernières années a largement coïncidé avec la plus longue phase haussière du marché actions jamais observée. Nous n’avons donc pu observer la performance des entreprises présentant des notes ESG différentes en période de baisse prononcée du marché.</w:t>
      </w:r>
    </w:p>
    <w:p w14:paraId="613985EE" w14:textId="77777777" w:rsidR="00620A32" w:rsidRPr="005E62CE" w:rsidRDefault="00620A32" w:rsidP="008D0F68">
      <w:pPr>
        <w:spacing w:before="60" w:after="60"/>
        <w:rPr>
          <w:rFonts w:ascii="Arial" w:hAnsi="Arial" w:cs="Arial"/>
        </w:rPr>
      </w:pPr>
    </w:p>
    <w:p w14:paraId="6D7F9C05" w14:textId="37DF0ACD" w:rsidR="008D0F68" w:rsidRDefault="008D0F68" w:rsidP="008D0F68">
      <w:pPr>
        <w:spacing w:before="60" w:after="60"/>
        <w:rPr>
          <w:rFonts w:ascii="Arial" w:hAnsi="Arial" w:cs="Arial"/>
        </w:rPr>
      </w:pPr>
      <w:r w:rsidRPr="005E62CE">
        <w:rPr>
          <w:rFonts w:ascii="Arial" w:hAnsi="Arial" w:cs="Arial"/>
        </w:rPr>
        <w:t>La pandémie de coronavirus</w:t>
      </w:r>
      <w:r w:rsidR="00620A32" w:rsidRPr="005E62CE">
        <w:rPr>
          <w:rFonts w:ascii="Arial" w:hAnsi="Arial" w:cs="Arial"/>
        </w:rPr>
        <w:t xml:space="preserve"> qui </w:t>
      </w:r>
      <w:r w:rsidRPr="005E62CE">
        <w:rPr>
          <w:rFonts w:ascii="Arial" w:hAnsi="Arial" w:cs="Arial"/>
        </w:rPr>
        <w:t>s’est déclarée dans la province chinoise de Wuhan en fin d’année 2019</w:t>
      </w:r>
      <w:r w:rsidR="00620A32" w:rsidRPr="005E62CE">
        <w:rPr>
          <w:rFonts w:ascii="Arial" w:hAnsi="Arial" w:cs="Arial"/>
        </w:rPr>
        <w:t xml:space="preserve"> </w:t>
      </w:r>
      <w:r w:rsidRPr="005E62CE">
        <w:rPr>
          <w:rFonts w:ascii="Arial" w:hAnsi="Arial" w:cs="Arial"/>
        </w:rPr>
        <w:t>a entraîné un effondrement rapide des places boursières. Certains des principaux indices boursiers mondiaux, comme le S&amp;P 500 et le FTSE 100, ont enregistré leur pire performance trimestrielle depuis 1987. L’indice MSCI All Country World (MSCI ACWI), qui représente la performance des</w:t>
      </w:r>
      <w:r w:rsidR="00AF31A6" w:rsidRPr="005E62CE">
        <w:rPr>
          <w:rFonts w:ascii="Arial" w:hAnsi="Arial" w:cs="Arial"/>
        </w:rPr>
        <w:t xml:space="preserve"> actions des pays </w:t>
      </w:r>
      <w:r w:rsidRPr="005E62CE">
        <w:rPr>
          <w:rFonts w:ascii="Arial" w:hAnsi="Arial" w:cs="Arial"/>
        </w:rPr>
        <w:t xml:space="preserve">développés et émergents, s’est replié de 33 % par rapport à son </w:t>
      </w:r>
      <w:r w:rsidR="00FD51CE" w:rsidRPr="005E62CE">
        <w:rPr>
          <w:rFonts w:ascii="Arial" w:hAnsi="Arial" w:cs="Arial"/>
        </w:rPr>
        <w:t>niveau le plu</w:t>
      </w:r>
      <w:r w:rsidR="000477ED" w:rsidRPr="005E62CE">
        <w:rPr>
          <w:rFonts w:ascii="Arial" w:hAnsi="Arial" w:cs="Arial"/>
        </w:rPr>
        <w:t>s haut</w:t>
      </w:r>
      <w:r w:rsidRPr="005E62CE">
        <w:rPr>
          <w:rFonts w:ascii="Arial" w:hAnsi="Arial" w:cs="Arial"/>
        </w:rPr>
        <w:t xml:space="preserve"> atteint début février pour s’établir à un plus bas sur le trimestre fin mars</w:t>
      </w:r>
      <w:r w:rsidRPr="005E62CE">
        <w:rPr>
          <w:rFonts w:ascii="Arial" w:hAnsi="Arial" w:cs="Arial"/>
          <w:vertAlign w:val="superscript"/>
        </w:rPr>
        <w:t>1</w:t>
      </w:r>
      <w:r w:rsidR="005E62CE">
        <w:rPr>
          <w:rFonts w:ascii="Arial" w:hAnsi="Arial" w:cs="Arial"/>
          <w:vertAlign w:val="superscript"/>
        </w:rPr>
        <w:t>.</w:t>
      </w:r>
    </w:p>
    <w:p w14:paraId="5DAC58FF" w14:textId="77777777" w:rsidR="005E62CE" w:rsidRPr="005E62CE" w:rsidRDefault="005E62CE" w:rsidP="008D0F68">
      <w:pPr>
        <w:spacing w:before="60" w:after="60"/>
        <w:rPr>
          <w:rFonts w:ascii="Arial" w:hAnsi="Arial" w:cs="Arial"/>
        </w:rPr>
      </w:pPr>
    </w:p>
    <w:p w14:paraId="0B713E6F" w14:textId="2735C4C4" w:rsidR="008D0F68" w:rsidRPr="005E62CE" w:rsidRDefault="008D0F68" w:rsidP="008D0F68">
      <w:pPr>
        <w:spacing w:before="60" w:after="60"/>
        <w:rPr>
          <w:rFonts w:ascii="Arial" w:hAnsi="Arial" w:cs="Arial"/>
        </w:rPr>
      </w:pPr>
      <w:r w:rsidRPr="005E62CE">
        <w:rPr>
          <w:rFonts w:ascii="Arial" w:hAnsi="Arial" w:cs="Arial"/>
        </w:rPr>
        <w:t>À la fin du premier trimestre, nous avons analysé la performance des entreprises présentant des notes ESG différentes durant cette période de baisse du marché actions</w:t>
      </w:r>
      <w:r w:rsidR="00FD51CE" w:rsidRPr="005E62CE">
        <w:rPr>
          <w:rFonts w:ascii="Arial" w:hAnsi="Arial" w:cs="Arial"/>
        </w:rPr>
        <w:t xml:space="preserve">, et </w:t>
      </w:r>
      <w:r w:rsidRPr="005E62CE">
        <w:rPr>
          <w:rFonts w:ascii="Arial" w:hAnsi="Arial" w:cs="Arial"/>
        </w:rPr>
        <w:t>avons effectué la même analyse pour le marché obligataire. Pour les deux classes d’actifs, nous observ</w:t>
      </w:r>
      <w:r w:rsidR="00FD51CE" w:rsidRPr="005E62CE">
        <w:rPr>
          <w:rFonts w:ascii="Arial" w:hAnsi="Arial" w:cs="Arial"/>
        </w:rPr>
        <w:t>ons</w:t>
      </w:r>
      <w:r w:rsidRPr="005E62CE">
        <w:rPr>
          <w:rFonts w:ascii="Arial" w:hAnsi="Arial" w:cs="Arial"/>
        </w:rPr>
        <w:t xml:space="preserve"> que les investissements dans des entreprises </w:t>
      </w:r>
      <w:r w:rsidR="00FD51CE" w:rsidRPr="005E62CE">
        <w:rPr>
          <w:rFonts w:ascii="Arial" w:hAnsi="Arial" w:cs="Arial"/>
        </w:rPr>
        <w:t xml:space="preserve">qui présentent </w:t>
      </w:r>
      <w:r w:rsidRPr="005E62CE">
        <w:rPr>
          <w:rFonts w:ascii="Arial" w:hAnsi="Arial" w:cs="Arial"/>
        </w:rPr>
        <w:t xml:space="preserve">des notes ESG plus élevées – selon la méthodologie </w:t>
      </w:r>
      <w:r w:rsidR="007F7BDF" w:rsidRPr="005E62CE">
        <w:rPr>
          <w:rFonts w:ascii="Arial" w:hAnsi="Arial" w:cs="Arial"/>
        </w:rPr>
        <w:t xml:space="preserve">quantitative </w:t>
      </w:r>
      <w:r w:rsidR="004C7070" w:rsidRPr="005E62CE">
        <w:rPr>
          <w:rFonts w:ascii="Arial" w:hAnsi="Arial" w:cs="Arial"/>
        </w:rPr>
        <w:t xml:space="preserve">de </w:t>
      </w:r>
      <w:proofErr w:type="spellStart"/>
      <w:r w:rsidR="004C7070" w:rsidRPr="005E62CE">
        <w:rPr>
          <w:rFonts w:ascii="Arial" w:hAnsi="Arial" w:cs="Arial"/>
        </w:rPr>
        <w:t>scoring</w:t>
      </w:r>
      <w:proofErr w:type="spellEnd"/>
      <w:r w:rsidR="004C7070" w:rsidRPr="005E62CE">
        <w:rPr>
          <w:rFonts w:ascii="Arial" w:hAnsi="Arial" w:cs="Arial"/>
        </w:rPr>
        <w:t xml:space="preserve"> </w:t>
      </w:r>
      <w:r w:rsidRPr="005E62CE">
        <w:rPr>
          <w:rFonts w:ascii="Arial" w:hAnsi="Arial" w:cs="Arial"/>
        </w:rPr>
        <w:t>ESG d</w:t>
      </w:r>
      <w:r w:rsidR="007F7BDF" w:rsidRPr="005E62CE">
        <w:rPr>
          <w:rFonts w:ascii="Arial" w:hAnsi="Arial" w:cs="Arial"/>
        </w:rPr>
        <w:t>éveloppée par A</w:t>
      </w:r>
      <w:r w:rsidRPr="005E62CE">
        <w:rPr>
          <w:rFonts w:ascii="Arial" w:hAnsi="Arial" w:cs="Arial"/>
        </w:rPr>
        <w:t>XA Investment Managers</w:t>
      </w:r>
      <w:r w:rsidRPr="005E62CE">
        <w:rPr>
          <w:rFonts w:ascii="Arial" w:hAnsi="Arial" w:cs="Arial"/>
          <w:vertAlign w:val="superscript"/>
        </w:rPr>
        <w:t>2</w:t>
      </w:r>
      <w:r w:rsidRPr="005E62CE">
        <w:rPr>
          <w:rFonts w:ascii="Arial" w:hAnsi="Arial" w:cs="Arial"/>
        </w:rPr>
        <w:t> – affich</w:t>
      </w:r>
      <w:r w:rsidR="00FD51CE" w:rsidRPr="005E62CE">
        <w:rPr>
          <w:rFonts w:ascii="Arial" w:hAnsi="Arial" w:cs="Arial"/>
        </w:rPr>
        <w:t xml:space="preserve">ent </w:t>
      </w:r>
      <w:r w:rsidRPr="005E62CE">
        <w:rPr>
          <w:rFonts w:ascii="Arial" w:hAnsi="Arial" w:cs="Arial"/>
        </w:rPr>
        <w:t xml:space="preserve">une performance nettement supérieure ainsi qu’une résilience accrue lors du dernier trimestre </w:t>
      </w:r>
      <w:r w:rsidR="007F7BDF" w:rsidRPr="005E62CE">
        <w:rPr>
          <w:rFonts w:ascii="Arial" w:hAnsi="Arial" w:cs="Arial"/>
        </w:rPr>
        <w:t xml:space="preserve">en comparaison </w:t>
      </w:r>
      <w:r w:rsidR="00AD2448" w:rsidRPr="005E62CE">
        <w:rPr>
          <w:rFonts w:ascii="Arial" w:hAnsi="Arial" w:cs="Arial"/>
        </w:rPr>
        <w:t>aux invest</w:t>
      </w:r>
      <w:r w:rsidR="00AF31A6" w:rsidRPr="005E62CE">
        <w:rPr>
          <w:rFonts w:ascii="Arial" w:hAnsi="Arial" w:cs="Arial"/>
        </w:rPr>
        <w:t>i</w:t>
      </w:r>
      <w:r w:rsidR="00AD2448" w:rsidRPr="005E62CE">
        <w:rPr>
          <w:rFonts w:ascii="Arial" w:hAnsi="Arial" w:cs="Arial"/>
        </w:rPr>
        <w:t xml:space="preserve">ssements </w:t>
      </w:r>
      <w:r w:rsidRPr="005E62CE">
        <w:rPr>
          <w:rFonts w:ascii="Arial" w:hAnsi="Arial" w:cs="Arial"/>
        </w:rPr>
        <w:t>dans des sociétés moins bien notées.</w:t>
      </w:r>
    </w:p>
    <w:p w14:paraId="1274DE20" w14:textId="404049AC" w:rsidR="008D0F68" w:rsidRDefault="008D0F68" w:rsidP="008D0F68">
      <w:pPr>
        <w:spacing w:before="60" w:after="60"/>
        <w:rPr>
          <w:rFonts w:ascii="Arial" w:hAnsi="Arial" w:cs="Arial"/>
        </w:rPr>
      </w:pPr>
    </w:p>
    <w:p w14:paraId="50A6FF8E" w14:textId="1B18A890" w:rsidR="005E62CE" w:rsidRDefault="005E62CE" w:rsidP="005E62CE">
      <w:pPr>
        <w:pStyle w:val="Notedebasdepage"/>
        <w:rPr>
          <w:rFonts w:ascii="Arial" w:hAnsi="Arial" w:cs="Arial"/>
          <w:sz w:val="16"/>
        </w:rPr>
      </w:pPr>
      <w:r>
        <w:rPr>
          <w:rFonts w:ascii="Arial" w:hAnsi="Arial" w:cs="Arial"/>
          <w:noProof/>
          <w:sz w:val="16"/>
          <w:vertAlign w:val="superscript"/>
        </w:rPr>
        <mc:AlternateContent>
          <mc:Choice Requires="wps">
            <w:drawing>
              <wp:anchor distT="0" distB="0" distL="114300" distR="114300" simplePos="0" relativeHeight="251661312" behindDoc="0" locked="0" layoutInCell="0" allowOverlap="1" wp14:anchorId="6996A3A6" wp14:editId="5310F3D7">
                <wp:simplePos x="0" y="0"/>
                <wp:positionH relativeFrom="page">
                  <wp:posOffset>0</wp:posOffset>
                </wp:positionH>
                <wp:positionV relativeFrom="page">
                  <wp:posOffset>10227945</wp:posOffset>
                </wp:positionV>
                <wp:extent cx="7560310" cy="182880"/>
                <wp:effectExtent l="0" t="0" r="0" b="7620"/>
                <wp:wrapNone/>
                <wp:docPr id="16" name="MSIPCM4eb7437e8b71ca3f5260e636" descr="{&quot;HashCode&quot;:-204992002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1828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C140F" w14:textId="77777777" w:rsidR="005E62CE" w:rsidRPr="00904B4F" w:rsidRDefault="005E62CE" w:rsidP="005E62CE">
                            <w:pPr>
                              <w:jc w:val="center"/>
                              <w:rPr>
                                <w:rFonts w:ascii="Calibri" w:hAnsi="Calibri"/>
                                <w:color w:val="000000"/>
                              </w:rPr>
                            </w:pPr>
                            <w:r w:rsidRPr="00904B4F">
                              <w:rPr>
                                <w:rFonts w:ascii="Calibri" w:hAnsi="Calibri"/>
                                <w:color w:val="000000"/>
                              </w:rPr>
                              <w:t>AXA IM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96A3A6" id="_x0000_t202" coordsize="21600,21600" o:spt="202" path="m,l,21600r21600,l21600,xe">
                <v:stroke joinstyle="miter"/>
                <v:path gradientshapeok="t" o:connecttype="rect"/>
              </v:shapetype>
              <v:shape id="MSIPCM4eb7437e8b71ca3f5260e636" o:spid="_x0000_s1026" type="#_x0000_t202" alt="{&quot;HashCode&quot;:-2049920027,&quot;Height&quot;:841.0,&quot;Width&quot;:595.0,&quot;Placement&quot;:&quot;Footer&quot;,&quot;Index&quot;:&quot;FirstPage&quot;,&quot;Section&quot;:1,&quot;Top&quot;:0.0,&quot;Left&quot;:0.0}" style="position:absolute;margin-left:0;margin-top:805.35pt;width:595.3pt;height:14.4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" o:allowincell="f" filled="f" stroked="f" strokeweight=".5pt">
                <v:textbox inset=",0,,0">
                  <w:txbxContent>
                    <w:p w14:paraId="1F5C140F" w14:textId="77777777" w:rsidR="005E62CE" w:rsidRPr="00904B4F" w:rsidRDefault="005E62CE" w:rsidP="005E62CE">
                      <w:pPr>
                        <w:jc w:val="center"/>
                        <w:rPr>
                          <w:rFonts w:ascii="Calibri" w:hAnsi="Calibri"/>
                          <w:color w:val="000000"/>
                        </w:rPr>
                      </w:pPr>
                      <w:r w:rsidRPr="00904B4F">
                        <w:rPr>
                          <w:rFonts w:ascii="Calibri" w:hAnsi="Calibri"/>
                          <w:color w:val="000000"/>
                        </w:rPr>
                        <w:t>AXA IM - INTERNAL</w:t>
                      </w:r>
                    </w:p>
                  </w:txbxContent>
                </v:textbox>
                <w10:wrap anchorx="page" anchory="page"/>
              </v:shape>
            </w:pict>
          </mc:Fallback>
        </mc:AlternateContent>
      </w:r>
      <w:r w:rsidRPr="00AF31A6">
        <w:rPr>
          <w:rStyle w:val="Appelnotedebasdep"/>
          <w:rFonts w:ascii="Arial" w:hAnsi="Arial" w:cs="Arial"/>
          <w:sz w:val="16"/>
        </w:rPr>
        <w:footnoteRef/>
      </w:r>
      <w:r w:rsidRPr="00AF31A6">
        <w:rPr>
          <w:rFonts w:ascii="Arial" w:hAnsi="Arial" w:cs="Arial"/>
          <w:sz w:val="16"/>
        </w:rPr>
        <w:t xml:space="preserve"> MSCI ACWI – Plus haut du 1</w:t>
      </w:r>
      <w:r w:rsidRPr="00AF31A6">
        <w:rPr>
          <w:rFonts w:ascii="Arial" w:hAnsi="Arial" w:cs="Arial"/>
          <w:sz w:val="16"/>
          <w:vertAlign w:val="superscript"/>
        </w:rPr>
        <w:t>er</w:t>
      </w:r>
      <w:r w:rsidRPr="00AF31A6">
        <w:rPr>
          <w:rFonts w:ascii="Arial" w:hAnsi="Arial" w:cs="Arial"/>
          <w:sz w:val="16"/>
        </w:rPr>
        <w:t> trimestre atteint le 12 février 2020 et plus bas enregistré le 23 mars 2020</w:t>
      </w:r>
    </w:p>
    <w:p w14:paraId="7D57301C" w14:textId="7F5A7D82" w:rsidR="005E62CE" w:rsidRPr="005E62CE" w:rsidRDefault="005E62CE" w:rsidP="005E62CE">
      <w:pPr>
        <w:pStyle w:val="Notedebasdepage"/>
        <w:rPr>
          <w:rStyle w:val="Lienhypertexte"/>
          <w:rFonts w:ascii="Arial" w:hAnsi="Arial" w:cs="Arial"/>
          <w:color w:val="auto"/>
          <w:sz w:val="16"/>
          <w:u w:val="none"/>
        </w:rPr>
      </w:pPr>
      <w:r w:rsidRPr="00AF31A6">
        <w:rPr>
          <w:rFonts w:ascii="Arial" w:hAnsi="Arial" w:cs="Arial"/>
          <w:sz w:val="16"/>
          <w:vertAlign w:val="superscript"/>
        </w:rPr>
        <w:t>2</w:t>
      </w:r>
      <w:r w:rsidRPr="00AF31A6">
        <w:rPr>
          <w:rFonts w:ascii="Arial" w:hAnsi="Arial" w:cs="Arial"/>
          <w:sz w:val="16"/>
        </w:rPr>
        <w:t xml:space="preserve"> </w:t>
      </w:r>
      <w:r w:rsidR="0082557B">
        <w:rPr>
          <w:rFonts w:ascii="Arial" w:hAnsi="Arial" w:cs="Arial"/>
          <w:sz w:val="16"/>
        </w:rPr>
        <w:t>P</w:t>
      </w:r>
      <w:r w:rsidRPr="00AF31A6">
        <w:rPr>
          <w:rFonts w:ascii="Arial" w:hAnsi="Arial" w:cs="Arial"/>
          <w:sz w:val="16"/>
        </w:rPr>
        <w:t>lus d’informations sur</w:t>
      </w:r>
      <w:r w:rsidR="0082557B">
        <w:rPr>
          <w:rFonts w:ascii="Arial" w:hAnsi="Arial" w:cs="Arial"/>
          <w:sz w:val="16"/>
        </w:rPr>
        <w:t> :</w:t>
      </w:r>
      <w:r w:rsidRPr="00AF31A6">
        <w:rPr>
          <w:rFonts w:ascii="Arial" w:hAnsi="Arial" w:cs="Arial"/>
          <w:sz w:val="16"/>
        </w:rPr>
        <w:t xml:space="preserve"> </w:t>
      </w:r>
      <w:hyperlink r:id="rId16" w:history="1">
        <w:r w:rsidRPr="00AF31A6">
          <w:rPr>
            <w:rStyle w:val="Lienhypertexte"/>
            <w:rFonts w:ascii="Arial" w:hAnsi="Arial" w:cs="Arial"/>
            <w:color w:val="auto"/>
            <w:sz w:val="16"/>
          </w:rPr>
          <w:t>https://www.axa-im.com/responsible-investing/framework-and-scoring-methodology</w:t>
        </w:r>
      </w:hyperlink>
    </w:p>
    <w:p w14:paraId="287A3523" w14:textId="77777777" w:rsidR="008D0F68" w:rsidRPr="005E62CE" w:rsidRDefault="008D0F68" w:rsidP="0052214F">
      <w:pPr>
        <w:spacing w:after="120"/>
        <w:rPr>
          <w:rFonts w:ascii="Arial" w:hAnsi="Arial" w:cs="Arial"/>
          <w:b/>
          <w:noProof/>
          <w:color w:val="00008F"/>
          <w:sz w:val="24"/>
          <w:szCs w:val="24"/>
        </w:rPr>
      </w:pPr>
      <w:r w:rsidRPr="005E62CE">
        <w:rPr>
          <w:rFonts w:ascii="Arial" w:hAnsi="Arial" w:cs="Arial"/>
          <w:b/>
          <w:color w:val="00008F"/>
          <w:sz w:val="24"/>
          <w:szCs w:val="24"/>
        </w:rPr>
        <w:lastRenderedPageBreak/>
        <w:t>Marché actions</w:t>
      </w:r>
    </w:p>
    <w:p w14:paraId="73554C70" w14:textId="2B426EEE" w:rsidR="00E9424F" w:rsidRPr="005E62CE" w:rsidRDefault="008D0F68" w:rsidP="008D0F68">
      <w:pPr>
        <w:spacing w:before="60" w:after="60"/>
        <w:rPr>
          <w:rFonts w:ascii="Arial" w:hAnsi="Arial" w:cs="Arial"/>
        </w:rPr>
      </w:pPr>
      <w:r w:rsidRPr="005E62CE">
        <w:rPr>
          <w:rFonts w:ascii="Arial" w:hAnsi="Arial" w:cs="Arial"/>
        </w:rPr>
        <w:t xml:space="preserve">Un panier d’actions d’entreprises leaders sur le plan ESG a surperformé les </w:t>
      </w:r>
      <w:r w:rsidR="00AF31A6" w:rsidRPr="005E62CE">
        <w:rPr>
          <w:rFonts w:ascii="Arial" w:hAnsi="Arial" w:cs="Arial"/>
        </w:rPr>
        <w:t>entreprises à la traîne en matière d’ESG</w:t>
      </w:r>
      <w:r w:rsidRPr="005E62CE">
        <w:rPr>
          <w:rFonts w:ascii="Arial" w:hAnsi="Arial" w:cs="Arial"/>
        </w:rPr>
        <w:t xml:space="preserve"> de 16,8 points de pourcentage au premier trimestre 2020. </w:t>
      </w:r>
    </w:p>
    <w:p w14:paraId="2A6264E4" w14:textId="77777777" w:rsidR="008D0F68" w:rsidRPr="005E62CE" w:rsidRDefault="008D0F68" w:rsidP="008D0F68">
      <w:pPr>
        <w:spacing w:before="60" w:after="60"/>
        <w:rPr>
          <w:rFonts w:ascii="Arial" w:hAnsi="Arial" w:cs="Arial"/>
        </w:rPr>
      </w:pPr>
      <w:r w:rsidRPr="005E62CE">
        <w:rPr>
          <w:rFonts w:ascii="Arial" w:hAnsi="Arial" w:cs="Arial"/>
        </w:rPr>
        <w:t>Nous avons utilisé le MSCI ACWI</w:t>
      </w:r>
      <w:r w:rsidRPr="005E62CE">
        <w:rPr>
          <w:rFonts w:ascii="Arial" w:hAnsi="Arial" w:cs="Arial"/>
          <w:vertAlign w:val="superscript"/>
        </w:rPr>
        <w:t>3</w:t>
      </w:r>
      <w:r w:rsidRPr="005E62CE">
        <w:rPr>
          <w:rFonts w:ascii="Arial" w:hAnsi="Arial" w:cs="Arial"/>
        </w:rPr>
        <w:t xml:space="preserve"> comme indice de base dans le cadre de cette analyse. Au sein de cet indice, nous avons identifié deux sous-groupes. </w:t>
      </w:r>
    </w:p>
    <w:p w14:paraId="1BC55094" w14:textId="7D39DC20" w:rsidR="008D0F68" w:rsidRPr="005E62CE" w:rsidRDefault="008D0F68" w:rsidP="008D0F68">
      <w:pPr>
        <w:pStyle w:val="Paragraphedeliste"/>
        <w:numPr>
          <w:ilvl w:val="0"/>
          <w:numId w:val="4"/>
        </w:numPr>
        <w:spacing w:before="60" w:after="60"/>
        <w:ind w:left="709" w:hanging="284"/>
        <w:rPr>
          <w:rFonts w:ascii="Arial" w:hAnsi="Arial" w:cs="Arial"/>
        </w:rPr>
      </w:pPr>
      <w:r w:rsidRPr="005E62CE">
        <w:rPr>
          <w:rFonts w:ascii="Arial" w:hAnsi="Arial" w:cs="Arial"/>
        </w:rPr>
        <w:t xml:space="preserve">Premièrement, les actions d’entreprises ayant les notes ESG les plus élevées (note égale ou supérieure à 8 sur une échelle de </w:t>
      </w:r>
      <w:r w:rsidR="00AD2448" w:rsidRPr="005E62CE">
        <w:rPr>
          <w:rFonts w:ascii="Arial" w:hAnsi="Arial" w:cs="Arial"/>
        </w:rPr>
        <w:t xml:space="preserve">0 à </w:t>
      </w:r>
      <w:r w:rsidRPr="005E62CE">
        <w:rPr>
          <w:rFonts w:ascii="Arial" w:hAnsi="Arial" w:cs="Arial"/>
        </w:rPr>
        <w:t>10) que nous avons appelées « Leaders ESG ».</w:t>
      </w:r>
    </w:p>
    <w:p w14:paraId="7BB0F7C2" w14:textId="52620339" w:rsidR="008D0F68" w:rsidRPr="005E62CE" w:rsidRDefault="008D0F68" w:rsidP="008D0F68">
      <w:pPr>
        <w:pStyle w:val="Paragraphedeliste"/>
        <w:numPr>
          <w:ilvl w:val="0"/>
          <w:numId w:val="4"/>
        </w:numPr>
        <w:spacing w:before="60" w:after="60"/>
        <w:ind w:left="709" w:hanging="284"/>
        <w:rPr>
          <w:rFonts w:ascii="Arial" w:hAnsi="Arial" w:cs="Arial"/>
        </w:rPr>
      </w:pPr>
      <w:r w:rsidRPr="005E62CE">
        <w:rPr>
          <w:rFonts w:ascii="Arial" w:hAnsi="Arial" w:cs="Arial"/>
        </w:rPr>
        <w:t>Puis, les actions d’entreprises ayant les notes ESG les plus faibles (note inférieure ou égale à 2 sur une échelle de</w:t>
      </w:r>
      <w:r w:rsidR="00AD2448" w:rsidRPr="005E62CE">
        <w:rPr>
          <w:rFonts w:ascii="Arial" w:hAnsi="Arial" w:cs="Arial"/>
        </w:rPr>
        <w:t xml:space="preserve"> 0 à</w:t>
      </w:r>
      <w:r w:rsidRPr="005E62CE">
        <w:rPr>
          <w:rFonts w:ascii="Arial" w:hAnsi="Arial" w:cs="Arial"/>
        </w:rPr>
        <w:t xml:space="preserve"> 10) que nous avons appelées « Retardataires ESG ».</w:t>
      </w:r>
    </w:p>
    <w:p w14:paraId="27BC94FC" w14:textId="77777777" w:rsidR="00186E6C" w:rsidRPr="005E62CE" w:rsidRDefault="00186E6C" w:rsidP="008D0F68">
      <w:pPr>
        <w:spacing w:before="60" w:after="60"/>
        <w:rPr>
          <w:rFonts w:ascii="Arial" w:hAnsi="Arial" w:cs="Arial"/>
        </w:rPr>
      </w:pPr>
    </w:p>
    <w:p w14:paraId="430CB91E" w14:textId="7F40F756" w:rsidR="00FB734E" w:rsidRPr="005E62CE" w:rsidRDefault="008D0F68" w:rsidP="008D0F68">
      <w:pPr>
        <w:spacing w:before="60" w:after="60"/>
        <w:rPr>
          <w:rFonts w:ascii="Arial" w:hAnsi="Arial" w:cs="Arial"/>
        </w:rPr>
      </w:pPr>
      <w:r w:rsidRPr="005E62CE">
        <w:rPr>
          <w:rFonts w:ascii="Arial" w:hAnsi="Arial" w:cs="Arial"/>
        </w:rPr>
        <w:t xml:space="preserve">Nous avons créé deux portefeuilles </w:t>
      </w:r>
      <w:r w:rsidRPr="00E364AA">
        <w:rPr>
          <w:rFonts w:ascii="Arial" w:hAnsi="Arial" w:cs="Arial"/>
        </w:rPr>
        <w:t>pondérés en fonction de la capitalisation boursière</w:t>
      </w:r>
      <w:r w:rsidRPr="005E62CE">
        <w:rPr>
          <w:rFonts w:ascii="Arial" w:hAnsi="Arial" w:cs="Arial"/>
        </w:rPr>
        <w:t xml:space="preserve">. Les résultats </w:t>
      </w:r>
      <w:r w:rsidR="00EA19DA" w:rsidRPr="005E62CE">
        <w:rPr>
          <w:rFonts w:ascii="Arial" w:hAnsi="Arial" w:cs="Arial"/>
        </w:rPr>
        <w:t xml:space="preserve">de l’analyse de performance au </w:t>
      </w:r>
      <w:r w:rsidRPr="005E62CE">
        <w:rPr>
          <w:rFonts w:ascii="Arial" w:hAnsi="Arial" w:cs="Arial"/>
        </w:rPr>
        <w:t>premier trimestre sont les suivants :</w:t>
      </w:r>
    </w:p>
    <w:p w14:paraId="5A268352" w14:textId="77777777" w:rsidR="003C4BBB" w:rsidRPr="005E62CE" w:rsidRDefault="003C4BBB" w:rsidP="008D0F68">
      <w:pPr>
        <w:spacing w:before="60" w:after="60"/>
        <w:rPr>
          <w:rFonts w:ascii="Arial" w:hAnsi="Arial" w:cs="Arial"/>
        </w:rPr>
      </w:pPr>
    </w:p>
    <w:tbl>
      <w:tblPr>
        <w:tblW w:w="9488" w:type="dxa"/>
        <w:jc w:val="center"/>
        <w:tblBorders>
          <w:top w:val="single" w:sz="8" w:space="0" w:color="00008F" w:themeColor="text2"/>
          <w:bottom w:val="single" w:sz="8" w:space="0" w:color="00008F" w:themeColor="text2"/>
          <w:insideH w:val="single" w:sz="8" w:space="0" w:color="00008F" w:themeColor="text2"/>
          <w:insideV w:val="single" w:sz="8" w:space="0" w:color="00008F" w:themeColor="text2"/>
        </w:tblBorders>
        <w:tblCellMar>
          <w:left w:w="0" w:type="dxa"/>
          <w:right w:w="0" w:type="dxa"/>
        </w:tblCellMar>
        <w:tblLook w:val="04A0" w:firstRow="1" w:lastRow="0" w:firstColumn="1" w:lastColumn="0" w:noHBand="0" w:noVBand="1"/>
      </w:tblPr>
      <w:tblGrid>
        <w:gridCol w:w="2020"/>
        <w:gridCol w:w="1740"/>
        <w:gridCol w:w="1740"/>
        <w:gridCol w:w="1578"/>
        <w:gridCol w:w="2410"/>
      </w:tblGrid>
      <w:tr w:rsidR="008D0F68" w:rsidRPr="005E62CE" w14:paraId="056C0449" w14:textId="77777777" w:rsidTr="00E9424F">
        <w:trPr>
          <w:trHeight w:val="635"/>
          <w:jc w:val="center"/>
        </w:trPr>
        <w:tc>
          <w:tcPr>
            <w:tcW w:w="2020" w:type="dxa"/>
            <w:tcBorders>
              <w:bottom w:val="single" w:sz="12" w:space="0" w:color="00008F" w:themeColor="text2"/>
            </w:tcBorders>
            <w:tcMar>
              <w:top w:w="0" w:type="dxa"/>
              <w:left w:w="108" w:type="dxa"/>
              <w:bottom w:w="0" w:type="dxa"/>
              <w:right w:w="108" w:type="dxa"/>
            </w:tcMar>
            <w:vAlign w:val="center"/>
            <w:hideMark/>
          </w:tcPr>
          <w:p w14:paraId="1288CF50" w14:textId="77777777" w:rsidR="008D0F68" w:rsidRPr="005E62CE" w:rsidRDefault="008D0F68" w:rsidP="007D1C99">
            <w:pPr>
              <w:rPr>
                <w:rFonts w:ascii="Arial" w:hAnsi="Arial" w:cs="Arial"/>
                <w:color w:val="000000"/>
              </w:rPr>
            </w:pPr>
            <w:r w:rsidRPr="005E62CE">
              <w:rPr>
                <w:rFonts w:ascii="Arial" w:hAnsi="Arial" w:cs="Arial"/>
                <w:color w:val="000000"/>
              </w:rPr>
              <w:t>Période</w:t>
            </w:r>
          </w:p>
        </w:tc>
        <w:tc>
          <w:tcPr>
            <w:tcW w:w="1740" w:type="dxa"/>
            <w:tcBorders>
              <w:bottom w:val="single" w:sz="12" w:space="0" w:color="00008F" w:themeColor="text2"/>
            </w:tcBorders>
            <w:tcMar>
              <w:top w:w="0" w:type="dxa"/>
              <w:left w:w="108" w:type="dxa"/>
              <w:bottom w:w="0" w:type="dxa"/>
              <w:right w:w="108" w:type="dxa"/>
            </w:tcMar>
            <w:vAlign w:val="center"/>
            <w:hideMark/>
          </w:tcPr>
          <w:p w14:paraId="2585E078" w14:textId="77777777" w:rsidR="008D0F68" w:rsidRPr="005E62CE" w:rsidRDefault="008D0F68" w:rsidP="007D1C99">
            <w:pPr>
              <w:rPr>
                <w:rFonts w:ascii="Arial" w:hAnsi="Arial" w:cs="Arial"/>
                <w:color w:val="000000"/>
              </w:rPr>
            </w:pPr>
            <w:r w:rsidRPr="005E62CE">
              <w:rPr>
                <w:rFonts w:ascii="Arial" w:hAnsi="Arial" w:cs="Arial"/>
                <w:color w:val="000000"/>
              </w:rPr>
              <w:t>Indice MSCI ACWI</w:t>
            </w:r>
          </w:p>
        </w:tc>
        <w:tc>
          <w:tcPr>
            <w:tcW w:w="1740" w:type="dxa"/>
            <w:tcBorders>
              <w:bottom w:val="single" w:sz="12" w:space="0" w:color="00008F" w:themeColor="text2"/>
            </w:tcBorders>
            <w:tcMar>
              <w:top w:w="0" w:type="dxa"/>
              <w:left w:w="108" w:type="dxa"/>
              <w:bottom w:w="0" w:type="dxa"/>
              <w:right w:w="108" w:type="dxa"/>
            </w:tcMar>
            <w:vAlign w:val="center"/>
            <w:hideMark/>
          </w:tcPr>
          <w:p w14:paraId="1C011C1C" w14:textId="77777777" w:rsidR="008D0F68" w:rsidRPr="005E62CE" w:rsidRDefault="008D0F68" w:rsidP="007D1C99">
            <w:pPr>
              <w:rPr>
                <w:rFonts w:ascii="Arial" w:hAnsi="Arial" w:cs="Arial"/>
                <w:color w:val="000000"/>
              </w:rPr>
            </w:pPr>
            <w:r w:rsidRPr="005E62CE">
              <w:rPr>
                <w:rFonts w:ascii="Arial" w:hAnsi="Arial" w:cs="Arial"/>
                <w:color w:val="000000"/>
              </w:rPr>
              <w:t>Retardataires ESG</w:t>
            </w:r>
          </w:p>
          <w:p w14:paraId="71A020B5" w14:textId="77777777" w:rsidR="008D0F68" w:rsidRPr="005E62CE" w:rsidRDefault="008D0F68" w:rsidP="007D1C99">
            <w:pPr>
              <w:rPr>
                <w:rFonts w:ascii="Arial" w:hAnsi="Arial" w:cs="Arial"/>
                <w:color w:val="000000"/>
              </w:rPr>
            </w:pPr>
            <w:r w:rsidRPr="005E62CE">
              <w:rPr>
                <w:rFonts w:ascii="Arial" w:hAnsi="Arial" w:cs="Arial"/>
              </w:rPr>
              <w:t>(note comprise entre 0 et 2)</w:t>
            </w:r>
          </w:p>
        </w:tc>
        <w:tc>
          <w:tcPr>
            <w:tcW w:w="1578" w:type="dxa"/>
            <w:tcBorders>
              <w:bottom w:val="single" w:sz="12" w:space="0" w:color="00008F" w:themeColor="text2"/>
            </w:tcBorders>
            <w:tcMar>
              <w:top w:w="0" w:type="dxa"/>
              <w:left w:w="108" w:type="dxa"/>
              <w:bottom w:w="0" w:type="dxa"/>
              <w:right w:w="108" w:type="dxa"/>
            </w:tcMar>
            <w:vAlign w:val="center"/>
            <w:hideMark/>
          </w:tcPr>
          <w:p w14:paraId="2713A4FC" w14:textId="77777777" w:rsidR="008D0F68" w:rsidRPr="005E62CE" w:rsidRDefault="008D0F68" w:rsidP="007D1C99">
            <w:pPr>
              <w:rPr>
                <w:rFonts w:ascii="Arial" w:hAnsi="Arial" w:cs="Arial"/>
                <w:color w:val="000000"/>
              </w:rPr>
            </w:pPr>
            <w:r w:rsidRPr="005E62CE">
              <w:rPr>
                <w:rFonts w:ascii="Arial" w:hAnsi="Arial" w:cs="Arial"/>
                <w:color w:val="000000"/>
              </w:rPr>
              <w:t>Leaders ESG</w:t>
            </w:r>
          </w:p>
          <w:p w14:paraId="37AD1A4F" w14:textId="77777777" w:rsidR="008D0F68" w:rsidRPr="005E62CE" w:rsidRDefault="008D0F68" w:rsidP="007D1C99">
            <w:pPr>
              <w:rPr>
                <w:rFonts w:ascii="Arial" w:hAnsi="Arial" w:cs="Arial"/>
                <w:color w:val="000000"/>
              </w:rPr>
            </w:pPr>
            <w:r w:rsidRPr="005E62CE">
              <w:rPr>
                <w:rFonts w:ascii="Arial" w:hAnsi="Arial" w:cs="Arial"/>
              </w:rPr>
              <w:t>(note comprise entre 8 et 10)</w:t>
            </w:r>
          </w:p>
        </w:tc>
        <w:tc>
          <w:tcPr>
            <w:tcW w:w="2410" w:type="dxa"/>
            <w:tcBorders>
              <w:bottom w:val="single" w:sz="12" w:space="0" w:color="00008F" w:themeColor="text2"/>
            </w:tcBorders>
            <w:tcMar>
              <w:top w:w="0" w:type="dxa"/>
              <w:left w:w="108" w:type="dxa"/>
              <w:bottom w:w="0" w:type="dxa"/>
              <w:right w:w="108" w:type="dxa"/>
            </w:tcMar>
            <w:vAlign w:val="center"/>
            <w:hideMark/>
          </w:tcPr>
          <w:p w14:paraId="06D71C79" w14:textId="16FCA838" w:rsidR="008D0F68" w:rsidRPr="005E62CE" w:rsidRDefault="005E62CE" w:rsidP="007D1C99">
            <w:pPr>
              <w:rPr>
                <w:rFonts w:ascii="Arial" w:hAnsi="Arial" w:cs="Arial"/>
                <w:b/>
                <w:bCs w:val="0"/>
                <w:color w:val="000000"/>
              </w:rPr>
            </w:pPr>
            <w:r>
              <w:rPr>
                <w:rFonts w:ascii="Arial" w:hAnsi="Arial" w:cs="Arial"/>
                <w:b/>
                <w:color w:val="000000"/>
              </w:rPr>
              <w:t xml:space="preserve">Surperformance </w:t>
            </w:r>
            <w:r w:rsidR="008D0F68" w:rsidRPr="005E62CE">
              <w:rPr>
                <w:rFonts w:ascii="Arial" w:hAnsi="Arial" w:cs="Arial"/>
                <w:b/>
                <w:color w:val="000000"/>
              </w:rPr>
              <w:t>des Leaders ESG</w:t>
            </w:r>
            <w:r>
              <w:rPr>
                <w:rFonts w:ascii="Arial" w:hAnsi="Arial" w:cs="Arial"/>
                <w:b/>
                <w:color w:val="000000"/>
              </w:rPr>
              <w:t xml:space="preserve"> vs </w:t>
            </w:r>
            <w:r w:rsidR="008D0F68" w:rsidRPr="005E62CE">
              <w:rPr>
                <w:rFonts w:ascii="Arial" w:hAnsi="Arial" w:cs="Arial"/>
                <w:b/>
                <w:color w:val="000000"/>
              </w:rPr>
              <w:t>Retardataires ESG</w:t>
            </w:r>
          </w:p>
        </w:tc>
      </w:tr>
      <w:tr w:rsidR="008D0F68" w:rsidRPr="005E62CE" w14:paraId="48D5B5BC" w14:textId="77777777" w:rsidTr="00E9424F">
        <w:trPr>
          <w:trHeight w:val="290"/>
          <w:jc w:val="center"/>
        </w:trPr>
        <w:tc>
          <w:tcPr>
            <w:tcW w:w="2020" w:type="dxa"/>
            <w:tcBorders>
              <w:top w:val="single" w:sz="12" w:space="0" w:color="00008F" w:themeColor="text2"/>
            </w:tcBorders>
            <w:noWrap/>
            <w:tcMar>
              <w:top w:w="0" w:type="dxa"/>
              <w:left w:w="108" w:type="dxa"/>
              <w:bottom w:w="0" w:type="dxa"/>
              <w:right w:w="108" w:type="dxa"/>
            </w:tcMar>
            <w:vAlign w:val="center"/>
            <w:hideMark/>
          </w:tcPr>
          <w:p w14:paraId="1BED0C16" w14:textId="77777777" w:rsidR="008D0F68" w:rsidRPr="005E62CE" w:rsidRDefault="008D0F68" w:rsidP="007D1C99">
            <w:pPr>
              <w:rPr>
                <w:rFonts w:ascii="Arial" w:hAnsi="Arial" w:cs="Arial"/>
                <w:color w:val="000000"/>
              </w:rPr>
            </w:pPr>
            <w:r w:rsidRPr="005E62CE">
              <w:rPr>
                <w:rFonts w:ascii="Arial" w:hAnsi="Arial" w:cs="Arial"/>
                <w:color w:val="000000"/>
              </w:rPr>
              <w:t>31/12/2019 ~ 31/03/2020</w:t>
            </w:r>
          </w:p>
        </w:tc>
        <w:tc>
          <w:tcPr>
            <w:tcW w:w="1740" w:type="dxa"/>
            <w:tcBorders>
              <w:top w:val="single" w:sz="12" w:space="0" w:color="00008F" w:themeColor="text2"/>
            </w:tcBorders>
            <w:noWrap/>
            <w:tcMar>
              <w:top w:w="0" w:type="dxa"/>
              <w:left w:w="108" w:type="dxa"/>
              <w:bottom w:w="0" w:type="dxa"/>
              <w:right w:w="108" w:type="dxa"/>
            </w:tcMar>
            <w:vAlign w:val="center"/>
            <w:hideMark/>
          </w:tcPr>
          <w:p w14:paraId="6FF557DE" w14:textId="77777777" w:rsidR="008D0F68" w:rsidRPr="005E62CE" w:rsidRDefault="008D0F68" w:rsidP="007D1C99">
            <w:pPr>
              <w:jc w:val="center"/>
              <w:rPr>
                <w:rFonts w:ascii="Arial" w:hAnsi="Arial" w:cs="Arial"/>
                <w:color w:val="000000"/>
              </w:rPr>
            </w:pPr>
            <w:r w:rsidRPr="005E62CE">
              <w:rPr>
                <w:rFonts w:ascii="Arial" w:hAnsi="Arial" w:cs="Arial"/>
                <w:color w:val="000000"/>
              </w:rPr>
              <w:t>-19,6 %</w:t>
            </w:r>
          </w:p>
        </w:tc>
        <w:tc>
          <w:tcPr>
            <w:tcW w:w="1740" w:type="dxa"/>
            <w:tcBorders>
              <w:top w:val="single" w:sz="12" w:space="0" w:color="00008F" w:themeColor="text2"/>
            </w:tcBorders>
            <w:noWrap/>
            <w:tcMar>
              <w:top w:w="0" w:type="dxa"/>
              <w:left w:w="108" w:type="dxa"/>
              <w:bottom w:w="0" w:type="dxa"/>
              <w:right w:w="108" w:type="dxa"/>
            </w:tcMar>
            <w:vAlign w:val="center"/>
            <w:hideMark/>
          </w:tcPr>
          <w:p w14:paraId="3238E279" w14:textId="77777777" w:rsidR="008D0F68" w:rsidRPr="005E62CE" w:rsidRDefault="008D0F68" w:rsidP="007D1C99">
            <w:pPr>
              <w:jc w:val="center"/>
              <w:rPr>
                <w:rFonts w:ascii="Arial" w:hAnsi="Arial" w:cs="Arial"/>
                <w:color w:val="000000"/>
              </w:rPr>
            </w:pPr>
            <w:r w:rsidRPr="005E62CE">
              <w:rPr>
                <w:rFonts w:ascii="Arial" w:hAnsi="Arial" w:cs="Arial"/>
                <w:color w:val="000000"/>
              </w:rPr>
              <w:t>-31,3 %</w:t>
            </w:r>
          </w:p>
        </w:tc>
        <w:tc>
          <w:tcPr>
            <w:tcW w:w="1578" w:type="dxa"/>
            <w:tcBorders>
              <w:top w:val="single" w:sz="12" w:space="0" w:color="00008F" w:themeColor="text2"/>
            </w:tcBorders>
            <w:noWrap/>
            <w:tcMar>
              <w:top w:w="0" w:type="dxa"/>
              <w:left w:w="108" w:type="dxa"/>
              <w:bottom w:w="0" w:type="dxa"/>
              <w:right w:w="108" w:type="dxa"/>
            </w:tcMar>
            <w:vAlign w:val="center"/>
            <w:hideMark/>
          </w:tcPr>
          <w:p w14:paraId="4B551B7E" w14:textId="77777777" w:rsidR="008D0F68" w:rsidRPr="005E62CE" w:rsidRDefault="008D0F68" w:rsidP="007D1C99">
            <w:pPr>
              <w:jc w:val="center"/>
              <w:rPr>
                <w:rFonts w:ascii="Arial" w:hAnsi="Arial" w:cs="Arial"/>
                <w:color w:val="000000"/>
              </w:rPr>
            </w:pPr>
            <w:r w:rsidRPr="005E62CE">
              <w:rPr>
                <w:rFonts w:ascii="Arial" w:hAnsi="Arial" w:cs="Arial"/>
                <w:color w:val="000000"/>
              </w:rPr>
              <w:t>-14,5 %</w:t>
            </w:r>
          </w:p>
        </w:tc>
        <w:tc>
          <w:tcPr>
            <w:tcW w:w="2410" w:type="dxa"/>
            <w:tcBorders>
              <w:top w:val="single" w:sz="12" w:space="0" w:color="00008F" w:themeColor="text2"/>
            </w:tcBorders>
            <w:tcMar>
              <w:top w:w="0" w:type="dxa"/>
              <w:left w:w="108" w:type="dxa"/>
              <w:bottom w:w="0" w:type="dxa"/>
              <w:right w:w="108" w:type="dxa"/>
            </w:tcMar>
            <w:vAlign w:val="center"/>
            <w:hideMark/>
          </w:tcPr>
          <w:p w14:paraId="1B0C7AF4" w14:textId="77777777" w:rsidR="008D0F68" w:rsidRPr="005E62CE" w:rsidRDefault="008D0F68" w:rsidP="007D1C99">
            <w:pPr>
              <w:jc w:val="center"/>
              <w:rPr>
                <w:rFonts w:ascii="Arial" w:hAnsi="Arial" w:cs="Arial"/>
                <w:b/>
                <w:bCs w:val="0"/>
                <w:color w:val="000000"/>
              </w:rPr>
            </w:pPr>
            <w:r w:rsidRPr="005E62CE">
              <w:rPr>
                <w:rFonts w:ascii="Arial" w:hAnsi="Arial" w:cs="Arial"/>
                <w:b/>
                <w:color w:val="000000"/>
              </w:rPr>
              <w:t>16,8 %</w:t>
            </w:r>
          </w:p>
        </w:tc>
      </w:tr>
    </w:tbl>
    <w:p w14:paraId="49A9D7FF" w14:textId="2179BF7A" w:rsidR="008D0F68" w:rsidRDefault="008D0F68" w:rsidP="008D0F68">
      <w:pPr>
        <w:spacing w:before="60" w:after="60"/>
        <w:rPr>
          <w:rFonts w:ascii="Arial" w:hAnsi="Arial" w:cs="Arial"/>
        </w:rPr>
      </w:pPr>
    </w:p>
    <w:p w14:paraId="56B35E45" w14:textId="77777777" w:rsidR="0052214F" w:rsidRPr="005E62CE" w:rsidRDefault="0052214F" w:rsidP="008D0F68">
      <w:pPr>
        <w:spacing w:before="60" w:after="60"/>
        <w:rPr>
          <w:rFonts w:ascii="Arial" w:hAnsi="Arial" w:cs="Arial"/>
        </w:rPr>
      </w:pPr>
    </w:p>
    <w:p w14:paraId="13D01E4B" w14:textId="77777777" w:rsidR="003C4BBB" w:rsidRPr="005E62CE" w:rsidRDefault="003C4BBB" w:rsidP="003C4BBB">
      <w:pPr>
        <w:ind w:left="360"/>
        <w:rPr>
          <w:rFonts w:ascii="Arial" w:hAnsi="Arial" w:cs="Arial"/>
        </w:rPr>
      </w:pPr>
      <w:r w:rsidRPr="005E62CE">
        <w:rPr>
          <w:rFonts w:ascii="Arial" w:hAnsi="Arial" w:cs="Arial"/>
        </w:rPr>
        <w:t>Le graphique ci-dessous présente la performance cumulée entre les deux portefeuilles.</w:t>
      </w:r>
    </w:p>
    <w:p w14:paraId="3226CFC1" w14:textId="77777777" w:rsidR="00E9424F" w:rsidRPr="005E62CE" w:rsidRDefault="00E9424F" w:rsidP="003C4BBB">
      <w:pPr>
        <w:ind w:left="360"/>
        <w:rPr>
          <w:rFonts w:ascii="Arial" w:hAnsi="Arial" w:cs="Arial"/>
        </w:rPr>
      </w:pPr>
    </w:p>
    <w:p w14:paraId="15FCF4E9" w14:textId="33BE4CE1" w:rsidR="003C4BBB" w:rsidRPr="005E62CE" w:rsidRDefault="00E9424F" w:rsidP="00186E6C">
      <w:pPr>
        <w:rPr>
          <w:rFonts w:ascii="Arial" w:hAnsi="Arial" w:cs="Arial"/>
          <w:i/>
          <w:color w:val="808080" w:themeColor="background1" w:themeShade="80"/>
        </w:rPr>
      </w:pPr>
      <w:r w:rsidRPr="005E62CE">
        <w:rPr>
          <w:rFonts w:ascii="Arial" w:hAnsi="Arial" w:cs="Arial"/>
          <w:noProof/>
          <w:lang w:eastAsia="fr-FR"/>
        </w:rPr>
        <w:drawing>
          <wp:inline distT="0" distB="0" distL="0" distR="0" wp14:anchorId="039EA2A1" wp14:editId="2380CA58">
            <wp:extent cx="6487610" cy="2856230"/>
            <wp:effectExtent l="0" t="0" r="8890" b="1270"/>
            <wp:docPr id="12" name="Graphique 12">
              <a:extLst xmlns:a="http://schemas.openxmlformats.org/drawingml/2006/main">
                <a:ext uri="{FF2B5EF4-FFF2-40B4-BE49-F238E27FC236}">
                  <a16:creationId xmlns:a16="http://schemas.microsoft.com/office/drawing/2014/main" id="{C2D4CF13-B211-4F63-8BA5-ED707CE5B5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EDB1D1" w14:textId="77777777" w:rsidR="0052214F" w:rsidRPr="0052214F" w:rsidRDefault="0052214F" w:rsidP="00186E6C">
      <w:pPr>
        <w:rPr>
          <w:rFonts w:ascii="Arial" w:hAnsi="Arial" w:cs="Arial"/>
          <w:color w:val="808080" w:themeColor="background1" w:themeShade="80"/>
        </w:rPr>
      </w:pPr>
    </w:p>
    <w:p w14:paraId="03B0CA6C" w14:textId="7667D277" w:rsidR="00186E6C" w:rsidRPr="005E62CE" w:rsidRDefault="00186E6C" w:rsidP="00186E6C">
      <w:pPr>
        <w:rPr>
          <w:rFonts w:ascii="Arial" w:hAnsi="Arial" w:cs="Arial"/>
          <w:i/>
          <w:color w:val="808080" w:themeColor="background1" w:themeShade="80"/>
        </w:rPr>
      </w:pPr>
      <w:r w:rsidRPr="005E62CE">
        <w:rPr>
          <w:rFonts w:ascii="Arial" w:hAnsi="Arial" w:cs="Arial"/>
          <w:i/>
          <w:color w:val="808080" w:themeColor="background1" w:themeShade="80"/>
        </w:rPr>
        <w:t>Source : AXA IM au 31/03/2020</w:t>
      </w:r>
    </w:p>
    <w:p w14:paraId="09992522" w14:textId="44CB442A" w:rsidR="00186E6C" w:rsidRDefault="00186E6C" w:rsidP="00E9424F">
      <w:pPr>
        <w:spacing w:before="60" w:after="60"/>
        <w:rPr>
          <w:rFonts w:ascii="Arial" w:hAnsi="Arial" w:cs="Arial"/>
        </w:rPr>
      </w:pPr>
    </w:p>
    <w:p w14:paraId="4502E3A9" w14:textId="77777777" w:rsidR="0052214F" w:rsidRPr="005E62CE" w:rsidRDefault="0052214F" w:rsidP="00E9424F">
      <w:pPr>
        <w:spacing w:before="60" w:after="60"/>
        <w:rPr>
          <w:rFonts w:ascii="Arial" w:hAnsi="Arial" w:cs="Arial"/>
        </w:rPr>
      </w:pPr>
    </w:p>
    <w:p w14:paraId="244C414C" w14:textId="266088BC" w:rsidR="003C4BBB" w:rsidRPr="005E62CE" w:rsidRDefault="00186E6C" w:rsidP="00E9424F">
      <w:pPr>
        <w:spacing w:before="60" w:after="60"/>
        <w:rPr>
          <w:rFonts w:ascii="Arial" w:hAnsi="Arial" w:cs="Arial"/>
        </w:rPr>
      </w:pPr>
      <w:r w:rsidRPr="005E62CE">
        <w:rPr>
          <w:rFonts w:ascii="Arial" w:hAnsi="Arial" w:cs="Arial"/>
        </w:rPr>
        <w:t xml:space="preserve">En étudiant la </w:t>
      </w:r>
      <w:r w:rsidR="003C4BBB" w:rsidRPr="005E62CE">
        <w:rPr>
          <w:rFonts w:ascii="Arial" w:hAnsi="Arial" w:cs="Arial"/>
        </w:rPr>
        <w:t>performance d’un point de vue sectoriel, nous avons pu observer que l</w:t>
      </w:r>
      <w:r w:rsidR="00E90EF6" w:rsidRPr="005E62CE">
        <w:rPr>
          <w:rFonts w:ascii="Arial" w:hAnsi="Arial" w:cs="Arial"/>
        </w:rPr>
        <w:t>es secteurs de la</w:t>
      </w:r>
      <w:r w:rsidR="003C4BBB" w:rsidRPr="005E62CE">
        <w:rPr>
          <w:rFonts w:ascii="Arial" w:hAnsi="Arial" w:cs="Arial"/>
        </w:rPr>
        <w:t xml:space="preserve"> santé, les valeurs financières et les services aux collectivités présentaient les écarts de performance les plus importants au</w:t>
      </w:r>
      <w:r w:rsidRPr="005E62CE">
        <w:rPr>
          <w:rFonts w:ascii="Arial" w:hAnsi="Arial" w:cs="Arial"/>
        </w:rPr>
        <w:t xml:space="preserve"> 1</w:t>
      </w:r>
      <w:r w:rsidRPr="005E62CE">
        <w:rPr>
          <w:rFonts w:ascii="Arial" w:hAnsi="Arial" w:cs="Arial"/>
          <w:vertAlign w:val="superscript"/>
        </w:rPr>
        <w:t>er</w:t>
      </w:r>
      <w:r w:rsidRPr="005E62CE">
        <w:rPr>
          <w:rFonts w:ascii="Arial" w:hAnsi="Arial" w:cs="Arial"/>
        </w:rPr>
        <w:t xml:space="preserve"> </w:t>
      </w:r>
      <w:r w:rsidR="003C4BBB" w:rsidRPr="005E62CE">
        <w:rPr>
          <w:rFonts w:ascii="Arial" w:hAnsi="Arial" w:cs="Arial"/>
        </w:rPr>
        <w:t>trimestre 2020 entre les</w:t>
      </w:r>
      <w:r w:rsidRPr="005E62CE">
        <w:rPr>
          <w:rFonts w:ascii="Arial" w:hAnsi="Arial" w:cs="Arial"/>
        </w:rPr>
        <w:t> </w:t>
      </w:r>
      <w:r w:rsidR="003C4BBB" w:rsidRPr="005E62CE">
        <w:rPr>
          <w:rFonts w:ascii="Arial" w:hAnsi="Arial" w:cs="Arial"/>
        </w:rPr>
        <w:t>Leaders</w:t>
      </w:r>
      <w:r w:rsidRPr="005E62CE">
        <w:rPr>
          <w:rFonts w:ascii="Arial" w:hAnsi="Arial" w:cs="Arial"/>
        </w:rPr>
        <w:t xml:space="preserve"> ESG</w:t>
      </w:r>
      <w:r w:rsidR="003C4BBB" w:rsidRPr="005E62CE">
        <w:rPr>
          <w:rFonts w:ascii="Arial" w:hAnsi="Arial" w:cs="Arial"/>
        </w:rPr>
        <w:t xml:space="preserve"> et les</w:t>
      </w:r>
      <w:r w:rsidRPr="005E62CE">
        <w:rPr>
          <w:rFonts w:ascii="Arial" w:hAnsi="Arial" w:cs="Arial"/>
        </w:rPr>
        <w:t> </w:t>
      </w:r>
      <w:r w:rsidR="003C4BBB" w:rsidRPr="005E62CE">
        <w:rPr>
          <w:rFonts w:ascii="Arial" w:hAnsi="Arial" w:cs="Arial"/>
        </w:rPr>
        <w:t xml:space="preserve">Retardataires ESG. </w:t>
      </w:r>
    </w:p>
    <w:p w14:paraId="1C71D25C" w14:textId="5B095AF0" w:rsidR="003C4BBB" w:rsidRDefault="003C4BBB" w:rsidP="00E9424F">
      <w:pPr>
        <w:spacing w:before="60" w:after="60"/>
        <w:rPr>
          <w:rFonts w:ascii="Arial" w:hAnsi="Arial" w:cs="Arial"/>
        </w:rPr>
      </w:pPr>
      <w:r w:rsidRPr="005E62CE">
        <w:rPr>
          <w:rFonts w:ascii="Arial" w:hAnsi="Arial" w:cs="Arial"/>
        </w:rPr>
        <w:t xml:space="preserve">Nous avons également réalisé une analyse des risques et avons </w:t>
      </w:r>
      <w:r w:rsidR="00186E6C" w:rsidRPr="005E62CE">
        <w:rPr>
          <w:rFonts w:ascii="Arial" w:hAnsi="Arial" w:cs="Arial"/>
        </w:rPr>
        <w:t>constaté</w:t>
      </w:r>
      <w:r w:rsidRPr="005E62CE">
        <w:rPr>
          <w:rFonts w:ascii="Arial" w:hAnsi="Arial" w:cs="Arial"/>
        </w:rPr>
        <w:t xml:space="preserve"> que la volatilité annualisée de l’indice, des Leaders et des Retardataires ESG évoluait dans la même fourchette</w:t>
      </w:r>
      <w:r w:rsidR="00DD5382" w:rsidRPr="005E62CE">
        <w:rPr>
          <w:rFonts w:ascii="Arial" w:hAnsi="Arial" w:cs="Arial"/>
        </w:rPr>
        <w:t xml:space="preserve"> de risque</w:t>
      </w:r>
      <w:r w:rsidRPr="005E62CE">
        <w:rPr>
          <w:rFonts w:ascii="Arial" w:hAnsi="Arial" w:cs="Arial"/>
        </w:rPr>
        <w:t xml:space="preserve">. </w:t>
      </w:r>
    </w:p>
    <w:p w14:paraId="10F287AD" w14:textId="1A8D80ED" w:rsidR="0082557B" w:rsidRDefault="0082557B" w:rsidP="00E9424F">
      <w:pPr>
        <w:spacing w:before="60" w:after="60"/>
        <w:rPr>
          <w:rFonts w:ascii="Arial" w:hAnsi="Arial" w:cs="Arial"/>
        </w:rPr>
      </w:pPr>
    </w:p>
    <w:p w14:paraId="4197CB34" w14:textId="2B79FDA6" w:rsidR="0052214F" w:rsidRPr="00990552" w:rsidRDefault="00990552" w:rsidP="00E9424F">
      <w:pPr>
        <w:spacing w:before="60" w:after="60"/>
        <w:rPr>
          <w:rFonts w:ascii="Arial" w:hAnsi="Arial" w:cs="Arial"/>
        </w:rPr>
      </w:pPr>
      <w:r w:rsidRPr="00990552">
        <w:rPr>
          <w:rStyle w:val="Appelnotedebasdep"/>
          <w:rFonts w:ascii="Arial" w:hAnsi="Arial" w:cs="Arial"/>
          <w:sz w:val="16"/>
          <w:szCs w:val="16"/>
        </w:rPr>
        <w:t>3</w:t>
      </w:r>
      <w:r w:rsidRPr="00990552">
        <w:rPr>
          <w:rFonts w:ascii="Arial" w:hAnsi="Arial" w:cs="Arial"/>
          <w:sz w:val="16"/>
          <w:szCs w:val="16"/>
        </w:rPr>
        <w:t xml:space="preserve"> Indice MSCI All Country World, performance nette en euro, non couvert.</w:t>
      </w:r>
    </w:p>
    <w:p w14:paraId="0A3895A6" w14:textId="37D1BEAC" w:rsidR="0052214F" w:rsidRDefault="0052214F" w:rsidP="00E9424F">
      <w:pPr>
        <w:spacing w:before="60" w:after="60"/>
        <w:rPr>
          <w:rFonts w:ascii="Arial" w:hAnsi="Arial" w:cs="Arial"/>
        </w:rPr>
      </w:pPr>
    </w:p>
    <w:p w14:paraId="63A781F2" w14:textId="77777777" w:rsidR="00E9424F" w:rsidRPr="005E62CE" w:rsidRDefault="00E9424F" w:rsidP="0052214F">
      <w:pPr>
        <w:autoSpaceDE/>
        <w:autoSpaceDN/>
        <w:adjustRightInd/>
        <w:spacing w:after="120"/>
        <w:rPr>
          <w:rFonts w:ascii="Arial" w:hAnsi="Arial" w:cs="Arial"/>
          <w:b/>
          <w:noProof/>
          <w:vanish/>
          <w:color w:val="00008F"/>
          <w:sz w:val="24"/>
          <w:szCs w:val="24"/>
          <w:specVanish/>
        </w:rPr>
      </w:pPr>
    </w:p>
    <w:p w14:paraId="71356B92" w14:textId="349A326E" w:rsidR="003C4BBB" w:rsidRPr="005E62CE" w:rsidRDefault="003C4BBB" w:rsidP="0052214F">
      <w:pPr>
        <w:spacing w:after="120"/>
        <w:rPr>
          <w:rFonts w:ascii="Arial" w:hAnsi="Arial" w:cs="Arial"/>
          <w:b/>
          <w:noProof/>
          <w:color w:val="00008F"/>
          <w:sz w:val="24"/>
          <w:szCs w:val="24"/>
        </w:rPr>
      </w:pPr>
      <w:r w:rsidRPr="005E62CE">
        <w:rPr>
          <w:rFonts w:ascii="Arial" w:hAnsi="Arial" w:cs="Arial"/>
          <w:b/>
          <w:color w:val="00008F"/>
          <w:sz w:val="24"/>
          <w:szCs w:val="24"/>
        </w:rPr>
        <w:t>Marché des obligations d’</w:t>
      </w:r>
      <w:proofErr w:type="spellStart"/>
      <w:r w:rsidRPr="005E62CE">
        <w:rPr>
          <w:rFonts w:ascii="Arial" w:hAnsi="Arial" w:cs="Arial"/>
          <w:b/>
          <w:color w:val="00008F"/>
          <w:sz w:val="24"/>
          <w:szCs w:val="24"/>
        </w:rPr>
        <w:t>entreprise</w:t>
      </w:r>
      <w:r w:rsidR="0082557B">
        <w:rPr>
          <w:rFonts w:ascii="Arial" w:hAnsi="Arial" w:cs="Arial"/>
          <w:b/>
          <w:color w:val="00008F"/>
          <w:sz w:val="24"/>
          <w:szCs w:val="24"/>
        </w:rPr>
        <w:t>s</w:t>
      </w:r>
      <w:r w:rsidR="000F3478">
        <w:rPr>
          <w:rFonts w:ascii="Arial" w:hAnsi="Arial" w:cs="Arial"/>
          <w:b/>
          <w:color w:val="00008F"/>
          <w:sz w:val="24"/>
          <w:szCs w:val="24"/>
        </w:rPr>
        <w:t>s</w:t>
      </w:r>
      <w:proofErr w:type="spellEnd"/>
    </w:p>
    <w:p w14:paraId="296CBCCC" w14:textId="77777777" w:rsidR="003C4BBB" w:rsidRPr="005E62CE" w:rsidRDefault="003C4BBB" w:rsidP="00E9424F">
      <w:pPr>
        <w:spacing w:before="60" w:after="60"/>
        <w:rPr>
          <w:rFonts w:ascii="Arial" w:hAnsi="Arial" w:cs="Arial"/>
        </w:rPr>
      </w:pPr>
      <w:r w:rsidRPr="005E62CE">
        <w:rPr>
          <w:rFonts w:ascii="Arial" w:hAnsi="Arial" w:cs="Arial"/>
        </w:rPr>
        <w:t>Un panier d’obligations d’entreprises leaders sur le plan ESG a surperformé les « retardataires » de 5,2 points de pourcentage sur la même période.</w:t>
      </w:r>
    </w:p>
    <w:p w14:paraId="317F0D93" w14:textId="77777777" w:rsidR="00E90EF6" w:rsidRPr="005E62CE" w:rsidRDefault="003C4BBB" w:rsidP="00E9424F">
      <w:pPr>
        <w:spacing w:before="60" w:after="60"/>
        <w:rPr>
          <w:rFonts w:ascii="Arial" w:hAnsi="Arial" w:cs="Arial"/>
        </w:rPr>
      </w:pPr>
      <w:r w:rsidRPr="005E62CE">
        <w:rPr>
          <w:rFonts w:ascii="Arial" w:hAnsi="Arial" w:cs="Arial"/>
        </w:rPr>
        <w:t>Nous avons effectué la même analyse pour le marché des obligations d’entreprise</w:t>
      </w:r>
      <w:r w:rsidR="00E90EF6" w:rsidRPr="005E62CE">
        <w:rPr>
          <w:rFonts w:ascii="Arial" w:hAnsi="Arial" w:cs="Arial"/>
        </w:rPr>
        <w:t xml:space="preserve"> en utilisant </w:t>
      </w:r>
      <w:r w:rsidRPr="005E62CE">
        <w:rPr>
          <w:rFonts w:ascii="Arial" w:hAnsi="Arial" w:cs="Arial"/>
        </w:rPr>
        <w:t xml:space="preserve">l’indice Bloomberg Barclays Global </w:t>
      </w:r>
      <w:proofErr w:type="spellStart"/>
      <w:r w:rsidRPr="005E62CE">
        <w:rPr>
          <w:rFonts w:ascii="Arial" w:hAnsi="Arial" w:cs="Arial"/>
        </w:rPr>
        <w:t>Corporate</w:t>
      </w:r>
      <w:proofErr w:type="spellEnd"/>
      <w:r w:rsidRPr="005E62CE">
        <w:rPr>
          <w:rFonts w:ascii="Arial" w:hAnsi="Arial" w:cs="Arial"/>
        </w:rPr>
        <w:t xml:space="preserve"> </w:t>
      </w:r>
      <w:proofErr w:type="spellStart"/>
      <w:r w:rsidRPr="005E62CE">
        <w:rPr>
          <w:rFonts w:ascii="Arial" w:hAnsi="Arial" w:cs="Arial"/>
        </w:rPr>
        <w:t>Aggregate</w:t>
      </w:r>
      <w:proofErr w:type="spellEnd"/>
      <w:r w:rsidRPr="005E62CE">
        <w:rPr>
          <w:rFonts w:ascii="Arial" w:hAnsi="Arial" w:cs="Arial"/>
        </w:rPr>
        <w:t xml:space="preserve"> Bond</w:t>
      </w:r>
      <w:r w:rsidRPr="005E62CE">
        <w:rPr>
          <w:rFonts w:ascii="Arial" w:hAnsi="Arial" w:cs="Arial"/>
          <w:vertAlign w:val="superscript"/>
        </w:rPr>
        <w:t>4</w:t>
      </w:r>
      <w:r w:rsidRPr="005E62CE">
        <w:rPr>
          <w:rFonts w:ascii="Arial" w:hAnsi="Arial" w:cs="Arial"/>
        </w:rPr>
        <w:t xml:space="preserve"> comme indic</w:t>
      </w:r>
      <w:r w:rsidR="00E90EF6" w:rsidRPr="005E62CE">
        <w:rPr>
          <w:rFonts w:ascii="Arial" w:hAnsi="Arial" w:cs="Arial"/>
        </w:rPr>
        <w:t xml:space="preserve">ateur de référence. </w:t>
      </w:r>
    </w:p>
    <w:p w14:paraId="4D276D60" w14:textId="01706E52" w:rsidR="003C4BBB" w:rsidRPr="005E62CE" w:rsidRDefault="003C4BBB" w:rsidP="00E9424F">
      <w:pPr>
        <w:spacing w:before="60" w:after="60"/>
        <w:rPr>
          <w:rFonts w:ascii="Arial" w:hAnsi="Arial" w:cs="Arial"/>
        </w:rPr>
      </w:pPr>
      <w:r w:rsidRPr="005E62CE">
        <w:rPr>
          <w:rFonts w:ascii="Arial" w:hAnsi="Arial" w:cs="Arial"/>
        </w:rPr>
        <w:t xml:space="preserve">Nous avons créé deux portefeuilles obligataires </w:t>
      </w:r>
      <w:r w:rsidRPr="005A57FE">
        <w:rPr>
          <w:rFonts w:ascii="Arial" w:hAnsi="Arial" w:cs="Arial"/>
        </w:rPr>
        <w:t xml:space="preserve">pondérés en fonction </w:t>
      </w:r>
      <w:r w:rsidR="005A57FE" w:rsidRPr="005A57FE">
        <w:rPr>
          <w:rFonts w:ascii="Arial" w:hAnsi="Arial" w:cs="Arial"/>
        </w:rPr>
        <w:t xml:space="preserve">de la valeur de marché </w:t>
      </w:r>
      <w:r w:rsidRPr="005A57FE">
        <w:rPr>
          <w:rFonts w:ascii="Arial" w:hAnsi="Arial" w:cs="Arial"/>
        </w:rPr>
        <w:t xml:space="preserve">du </w:t>
      </w:r>
      <w:r w:rsidR="00DF74B2" w:rsidRPr="005A57FE">
        <w:rPr>
          <w:rFonts w:ascii="Arial" w:hAnsi="Arial" w:cs="Arial"/>
        </w:rPr>
        <w:t>volum</w:t>
      </w:r>
      <w:r w:rsidR="006F433C" w:rsidRPr="005A57FE">
        <w:rPr>
          <w:rFonts w:ascii="Arial" w:hAnsi="Arial" w:cs="Arial"/>
        </w:rPr>
        <w:t>e d’émission</w:t>
      </w:r>
      <w:r w:rsidRPr="005E62CE">
        <w:rPr>
          <w:rFonts w:ascii="Arial" w:hAnsi="Arial" w:cs="Arial"/>
        </w:rPr>
        <w:t>. Les résultats de l’analyse au premier trimestre sont les suivants :</w:t>
      </w:r>
    </w:p>
    <w:p w14:paraId="7C9BD09E" w14:textId="77777777" w:rsidR="00E9424F" w:rsidRPr="005E62CE" w:rsidRDefault="00E9424F" w:rsidP="00E9424F">
      <w:pPr>
        <w:spacing w:before="60" w:after="60"/>
        <w:rPr>
          <w:rFonts w:ascii="Arial" w:hAnsi="Arial" w:cs="Arial"/>
        </w:rPr>
      </w:pPr>
    </w:p>
    <w:tbl>
      <w:tblPr>
        <w:tblW w:w="9488" w:type="dxa"/>
        <w:jc w:val="center"/>
        <w:tblBorders>
          <w:top w:val="single" w:sz="8" w:space="0" w:color="00008F" w:themeColor="text2"/>
          <w:bottom w:val="single" w:sz="8" w:space="0" w:color="00008F" w:themeColor="text2"/>
          <w:insideH w:val="single" w:sz="8" w:space="0" w:color="00008F" w:themeColor="text2"/>
          <w:insideV w:val="single" w:sz="8" w:space="0" w:color="00008F" w:themeColor="text2"/>
        </w:tblBorders>
        <w:tblCellMar>
          <w:left w:w="0" w:type="dxa"/>
          <w:right w:w="0" w:type="dxa"/>
        </w:tblCellMar>
        <w:tblLook w:val="04A0" w:firstRow="1" w:lastRow="0" w:firstColumn="1" w:lastColumn="0" w:noHBand="0" w:noVBand="1"/>
      </w:tblPr>
      <w:tblGrid>
        <w:gridCol w:w="2020"/>
        <w:gridCol w:w="1740"/>
        <w:gridCol w:w="1740"/>
        <w:gridCol w:w="1578"/>
        <w:gridCol w:w="2410"/>
      </w:tblGrid>
      <w:tr w:rsidR="00E9424F" w:rsidRPr="005E62CE" w14:paraId="383B9966" w14:textId="77777777" w:rsidTr="008D60C4">
        <w:trPr>
          <w:trHeight w:val="635"/>
          <w:jc w:val="center"/>
        </w:trPr>
        <w:tc>
          <w:tcPr>
            <w:tcW w:w="2020" w:type="dxa"/>
            <w:tcBorders>
              <w:bottom w:val="single" w:sz="12" w:space="0" w:color="00008F" w:themeColor="text2"/>
            </w:tcBorders>
            <w:tcMar>
              <w:top w:w="0" w:type="dxa"/>
              <w:left w:w="108" w:type="dxa"/>
              <w:bottom w:w="0" w:type="dxa"/>
              <w:right w:w="108" w:type="dxa"/>
            </w:tcMar>
            <w:vAlign w:val="center"/>
            <w:hideMark/>
          </w:tcPr>
          <w:p w14:paraId="009F27F3" w14:textId="77777777" w:rsidR="00E9424F" w:rsidRPr="005E62CE" w:rsidRDefault="00E9424F" w:rsidP="00E9424F">
            <w:pPr>
              <w:rPr>
                <w:rFonts w:ascii="Arial" w:hAnsi="Arial" w:cs="Arial"/>
                <w:color w:val="000000"/>
              </w:rPr>
            </w:pPr>
            <w:r w:rsidRPr="005E62CE">
              <w:rPr>
                <w:rFonts w:ascii="Arial" w:hAnsi="Arial" w:cs="Arial"/>
              </w:rPr>
              <w:t xml:space="preserve"> Période</w:t>
            </w:r>
          </w:p>
        </w:tc>
        <w:tc>
          <w:tcPr>
            <w:tcW w:w="1740" w:type="dxa"/>
            <w:tcBorders>
              <w:bottom w:val="single" w:sz="12" w:space="0" w:color="00008F" w:themeColor="text2"/>
            </w:tcBorders>
            <w:tcMar>
              <w:top w:w="0" w:type="dxa"/>
              <w:left w:w="108" w:type="dxa"/>
              <w:bottom w:w="0" w:type="dxa"/>
              <w:right w:w="108" w:type="dxa"/>
            </w:tcMar>
            <w:vAlign w:val="center"/>
            <w:hideMark/>
          </w:tcPr>
          <w:p w14:paraId="74CC5424" w14:textId="77777777" w:rsidR="00E9424F" w:rsidRPr="005E62CE" w:rsidRDefault="00E9424F" w:rsidP="00E9424F">
            <w:pPr>
              <w:rPr>
                <w:rFonts w:ascii="Arial" w:hAnsi="Arial" w:cs="Arial"/>
                <w:color w:val="000000"/>
                <w:lang w:val="en-US"/>
              </w:rPr>
            </w:pPr>
            <w:r w:rsidRPr="005E62CE">
              <w:rPr>
                <w:rFonts w:ascii="Arial" w:hAnsi="Arial" w:cs="Arial"/>
                <w:color w:val="000000"/>
                <w:lang w:val="en-US"/>
              </w:rPr>
              <w:t>Indice Bloomberg Barclays Global Corporate Aggregate Bond</w:t>
            </w:r>
          </w:p>
        </w:tc>
        <w:tc>
          <w:tcPr>
            <w:tcW w:w="1740" w:type="dxa"/>
            <w:tcBorders>
              <w:bottom w:val="single" w:sz="12" w:space="0" w:color="00008F" w:themeColor="text2"/>
            </w:tcBorders>
            <w:tcMar>
              <w:top w:w="0" w:type="dxa"/>
              <w:left w:w="108" w:type="dxa"/>
              <w:bottom w:w="0" w:type="dxa"/>
              <w:right w:w="108" w:type="dxa"/>
            </w:tcMar>
            <w:vAlign w:val="center"/>
            <w:hideMark/>
          </w:tcPr>
          <w:p w14:paraId="5DC4D221" w14:textId="77777777" w:rsidR="00E9424F" w:rsidRPr="005E62CE" w:rsidRDefault="00E9424F" w:rsidP="00E9424F">
            <w:pPr>
              <w:rPr>
                <w:rFonts w:ascii="Arial" w:hAnsi="Arial" w:cs="Arial"/>
                <w:color w:val="000000"/>
              </w:rPr>
            </w:pPr>
            <w:r w:rsidRPr="005E62CE">
              <w:rPr>
                <w:rFonts w:ascii="Arial" w:hAnsi="Arial" w:cs="Arial"/>
                <w:color w:val="000000"/>
              </w:rPr>
              <w:t>Retardataires ESG</w:t>
            </w:r>
          </w:p>
          <w:p w14:paraId="62BE1454" w14:textId="77777777" w:rsidR="00E9424F" w:rsidRPr="005E62CE" w:rsidRDefault="00E9424F" w:rsidP="00E9424F">
            <w:pPr>
              <w:rPr>
                <w:rFonts w:ascii="Arial" w:hAnsi="Arial" w:cs="Arial"/>
                <w:color w:val="000000"/>
              </w:rPr>
            </w:pPr>
            <w:r w:rsidRPr="005E62CE">
              <w:rPr>
                <w:rFonts w:ascii="Arial" w:hAnsi="Arial" w:cs="Arial"/>
              </w:rPr>
              <w:t>(note comprise entre 0 et 2)</w:t>
            </w:r>
          </w:p>
        </w:tc>
        <w:tc>
          <w:tcPr>
            <w:tcW w:w="1578" w:type="dxa"/>
            <w:tcBorders>
              <w:bottom w:val="single" w:sz="12" w:space="0" w:color="00008F" w:themeColor="text2"/>
            </w:tcBorders>
            <w:tcMar>
              <w:top w:w="0" w:type="dxa"/>
              <w:left w:w="108" w:type="dxa"/>
              <w:bottom w:w="0" w:type="dxa"/>
              <w:right w:w="108" w:type="dxa"/>
            </w:tcMar>
            <w:vAlign w:val="center"/>
            <w:hideMark/>
          </w:tcPr>
          <w:p w14:paraId="311EBA46" w14:textId="77777777" w:rsidR="00E9424F" w:rsidRPr="005E62CE" w:rsidRDefault="00E9424F" w:rsidP="00E9424F">
            <w:pPr>
              <w:rPr>
                <w:rFonts w:ascii="Arial" w:hAnsi="Arial" w:cs="Arial"/>
                <w:color w:val="000000"/>
              </w:rPr>
            </w:pPr>
            <w:r w:rsidRPr="005E62CE">
              <w:rPr>
                <w:rFonts w:ascii="Arial" w:hAnsi="Arial" w:cs="Arial"/>
                <w:color w:val="000000"/>
              </w:rPr>
              <w:t>Leaders ESG</w:t>
            </w:r>
          </w:p>
          <w:p w14:paraId="02DCEE85" w14:textId="77777777" w:rsidR="00E9424F" w:rsidRPr="005E62CE" w:rsidRDefault="00E9424F" w:rsidP="00E9424F">
            <w:pPr>
              <w:rPr>
                <w:rFonts w:ascii="Arial" w:hAnsi="Arial" w:cs="Arial"/>
                <w:color w:val="000000"/>
              </w:rPr>
            </w:pPr>
            <w:r w:rsidRPr="005E62CE">
              <w:rPr>
                <w:rFonts w:ascii="Arial" w:hAnsi="Arial" w:cs="Arial"/>
              </w:rPr>
              <w:t>(note comprise entre 8 et 10)</w:t>
            </w:r>
          </w:p>
        </w:tc>
        <w:tc>
          <w:tcPr>
            <w:tcW w:w="2410" w:type="dxa"/>
            <w:tcBorders>
              <w:bottom w:val="single" w:sz="12" w:space="0" w:color="00008F" w:themeColor="text2"/>
            </w:tcBorders>
            <w:tcMar>
              <w:top w:w="0" w:type="dxa"/>
              <w:left w:w="108" w:type="dxa"/>
              <w:bottom w:w="0" w:type="dxa"/>
              <w:right w:w="108" w:type="dxa"/>
            </w:tcMar>
            <w:vAlign w:val="center"/>
            <w:hideMark/>
          </w:tcPr>
          <w:p w14:paraId="70B704AF" w14:textId="28D3DF20" w:rsidR="00E9424F" w:rsidRPr="005E62CE" w:rsidRDefault="005E62CE" w:rsidP="00E9424F">
            <w:pPr>
              <w:rPr>
                <w:rFonts w:ascii="Arial" w:hAnsi="Arial" w:cs="Arial"/>
                <w:b/>
                <w:color w:val="000000"/>
              </w:rPr>
            </w:pPr>
            <w:r>
              <w:rPr>
                <w:rFonts w:ascii="Arial" w:hAnsi="Arial" w:cs="Arial"/>
                <w:b/>
                <w:color w:val="000000"/>
              </w:rPr>
              <w:t>Surperformance</w:t>
            </w:r>
            <w:r w:rsidR="00E9424F" w:rsidRPr="005E62CE">
              <w:rPr>
                <w:rFonts w:ascii="Arial" w:hAnsi="Arial" w:cs="Arial"/>
                <w:b/>
                <w:color w:val="000000"/>
              </w:rPr>
              <w:t xml:space="preserve"> des Leaders ESG vs Retardataires ESG</w:t>
            </w:r>
          </w:p>
        </w:tc>
      </w:tr>
      <w:tr w:rsidR="00E9424F" w:rsidRPr="005E62CE" w14:paraId="7E182CD5" w14:textId="77777777" w:rsidTr="008D60C4">
        <w:trPr>
          <w:trHeight w:val="290"/>
          <w:jc w:val="center"/>
        </w:trPr>
        <w:tc>
          <w:tcPr>
            <w:tcW w:w="2020" w:type="dxa"/>
            <w:tcBorders>
              <w:top w:val="single" w:sz="12" w:space="0" w:color="00008F" w:themeColor="text2"/>
            </w:tcBorders>
            <w:noWrap/>
            <w:tcMar>
              <w:top w:w="0" w:type="dxa"/>
              <w:left w:w="108" w:type="dxa"/>
              <w:bottom w:w="0" w:type="dxa"/>
              <w:right w:w="108" w:type="dxa"/>
            </w:tcMar>
            <w:vAlign w:val="center"/>
            <w:hideMark/>
          </w:tcPr>
          <w:p w14:paraId="6178B725" w14:textId="438E1609" w:rsidR="00E9424F" w:rsidRPr="005E62CE" w:rsidRDefault="00653A31" w:rsidP="00E9424F">
            <w:pPr>
              <w:rPr>
                <w:rFonts w:ascii="Arial" w:hAnsi="Arial" w:cs="Arial"/>
                <w:color w:val="000000"/>
              </w:rPr>
            </w:pPr>
            <w:r>
              <w:rPr>
                <w:rFonts w:ascii="Arial" w:hAnsi="Arial" w:cs="Arial"/>
              </w:rPr>
              <w:t>31</w:t>
            </w:r>
            <w:r w:rsidR="00E9424F" w:rsidRPr="005E62CE">
              <w:rPr>
                <w:rFonts w:ascii="Arial" w:hAnsi="Arial" w:cs="Arial"/>
              </w:rPr>
              <w:t>/</w:t>
            </w:r>
            <w:r>
              <w:rPr>
                <w:rFonts w:ascii="Arial" w:hAnsi="Arial" w:cs="Arial"/>
              </w:rPr>
              <w:t>12</w:t>
            </w:r>
            <w:r w:rsidR="00E9424F" w:rsidRPr="005E62CE">
              <w:rPr>
                <w:rFonts w:ascii="Arial" w:hAnsi="Arial" w:cs="Arial"/>
              </w:rPr>
              <w:t>/20</w:t>
            </w:r>
            <w:r>
              <w:rPr>
                <w:rFonts w:ascii="Arial" w:hAnsi="Arial" w:cs="Arial"/>
              </w:rPr>
              <w:t>19</w:t>
            </w:r>
            <w:r w:rsidR="00E9424F" w:rsidRPr="005E62CE">
              <w:rPr>
                <w:rFonts w:ascii="Arial" w:hAnsi="Arial" w:cs="Arial"/>
              </w:rPr>
              <w:t xml:space="preserve"> ~ 31/03/2020</w:t>
            </w:r>
          </w:p>
        </w:tc>
        <w:tc>
          <w:tcPr>
            <w:tcW w:w="1740" w:type="dxa"/>
            <w:tcBorders>
              <w:top w:val="single" w:sz="12" w:space="0" w:color="00008F" w:themeColor="text2"/>
            </w:tcBorders>
            <w:noWrap/>
            <w:tcMar>
              <w:top w:w="0" w:type="dxa"/>
              <w:left w:w="108" w:type="dxa"/>
              <w:bottom w:w="0" w:type="dxa"/>
              <w:right w:w="108" w:type="dxa"/>
            </w:tcMar>
            <w:vAlign w:val="center"/>
            <w:hideMark/>
          </w:tcPr>
          <w:p w14:paraId="6F16DF27" w14:textId="77777777" w:rsidR="00E9424F" w:rsidRPr="005E62CE" w:rsidRDefault="00E9424F" w:rsidP="00E9424F">
            <w:pPr>
              <w:jc w:val="center"/>
              <w:rPr>
                <w:rFonts w:ascii="Arial" w:hAnsi="Arial" w:cs="Arial"/>
                <w:color w:val="000000"/>
              </w:rPr>
            </w:pPr>
            <w:r w:rsidRPr="005E62CE">
              <w:rPr>
                <w:rFonts w:ascii="Arial" w:hAnsi="Arial" w:cs="Arial"/>
                <w:color w:val="000000"/>
              </w:rPr>
              <w:t>-3,2 %</w:t>
            </w:r>
          </w:p>
        </w:tc>
        <w:tc>
          <w:tcPr>
            <w:tcW w:w="1740" w:type="dxa"/>
            <w:tcBorders>
              <w:top w:val="single" w:sz="12" w:space="0" w:color="00008F" w:themeColor="text2"/>
            </w:tcBorders>
            <w:noWrap/>
            <w:tcMar>
              <w:top w:w="0" w:type="dxa"/>
              <w:left w:w="108" w:type="dxa"/>
              <w:bottom w:w="0" w:type="dxa"/>
              <w:right w:w="108" w:type="dxa"/>
            </w:tcMar>
            <w:vAlign w:val="center"/>
            <w:hideMark/>
          </w:tcPr>
          <w:p w14:paraId="5B7BDDC4" w14:textId="77777777" w:rsidR="00E9424F" w:rsidRPr="005E62CE" w:rsidRDefault="00E9424F" w:rsidP="00E9424F">
            <w:pPr>
              <w:jc w:val="center"/>
              <w:rPr>
                <w:rFonts w:ascii="Arial" w:hAnsi="Arial" w:cs="Arial"/>
                <w:color w:val="000000"/>
              </w:rPr>
            </w:pPr>
            <w:r w:rsidRPr="005E62CE">
              <w:rPr>
                <w:rFonts w:ascii="Arial" w:hAnsi="Arial" w:cs="Arial"/>
                <w:color w:val="000000"/>
              </w:rPr>
              <w:t>-7,0 %</w:t>
            </w:r>
          </w:p>
        </w:tc>
        <w:tc>
          <w:tcPr>
            <w:tcW w:w="1578" w:type="dxa"/>
            <w:tcBorders>
              <w:top w:val="single" w:sz="12" w:space="0" w:color="00008F" w:themeColor="text2"/>
            </w:tcBorders>
            <w:noWrap/>
            <w:tcMar>
              <w:top w:w="0" w:type="dxa"/>
              <w:left w:w="108" w:type="dxa"/>
              <w:bottom w:w="0" w:type="dxa"/>
              <w:right w:w="108" w:type="dxa"/>
            </w:tcMar>
            <w:vAlign w:val="center"/>
            <w:hideMark/>
          </w:tcPr>
          <w:p w14:paraId="39F7991F" w14:textId="77777777" w:rsidR="00E9424F" w:rsidRPr="005E62CE" w:rsidRDefault="00E9424F" w:rsidP="00E9424F">
            <w:pPr>
              <w:jc w:val="center"/>
              <w:rPr>
                <w:rFonts w:ascii="Arial" w:hAnsi="Arial" w:cs="Arial"/>
                <w:color w:val="000000"/>
              </w:rPr>
            </w:pPr>
            <w:r w:rsidRPr="005E62CE">
              <w:rPr>
                <w:rFonts w:ascii="Arial" w:hAnsi="Arial" w:cs="Arial"/>
                <w:color w:val="000000"/>
              </w:rPr>
              <w:t>-1,8 %</w:t>
            </w:r>
          </w:p>
        </w:tc>
        <w:tc>
          <w:tcPr>
            <w:tcW w:w="2410" w:type="dxa"/>
            <w:tcBorders>
              <w:top w:val="single" w:sz="12" w:space="0" w:color="00008F" w:themeColor="text2"/>
            </w:tcBorders>
            <w:tcMar>
              <w:top w:w="0" w:type="dxa"/>
              <w:left w:w="108" w:type="dxa"/>
              <w:bottom w:w="0" w:type="dxa"/>
              <w:right w:w="108" w:type="dxa"/>
            </w:tcMar>
            <w:vAlign w:val="center"/>
            <w:hideMark/>
          </w:tcPr>
          <w:p w14:paraId="6ABA09D5" w14:textId="77777777" w:rsidR="00E9424F" w:rsidRPr="005E62CE" w:rsidRDefault="00E9424F" w:rsidP="00E9424F">
            <w:pPr>
              <w:jc w:val="center"/>
              <w:rPr>
                <w:rFonts w:ascii="Arial" w:hAnsi="Arial" w:cs="Arial"/>
                <w:b/>
                <w:bCs w:val="0"/>
                <w:color w:val="000000"/>
              </w:rPr>
            </w:pPr>
            <w:r w:rsidRPr="005E62CE">
              <w:rPr>
                <w:rFonts w:ascii="Arial" w:hAnsi="Arial" w:cs="Arial"/>
                <w:b/>
                <w:color w:val="000000"/>
              </w:rPr>
              <w:t>5,2 %</w:t>
            </w:r>
          </w:p>
        </w:tc>
      </w:tr>
    </w:tbl>
    <w:p w14:paraId="007CDC45" w14:textId="1AE4B386" w:rsidR="00E9424F" w:rsidRDefault="00E9424F" w:rsidP="00E9424F">
      <w:pPr>
        <w:spacing w:before="60" w:after="60"/>
        <w:rPr>
          <w:rFonts w:ascii="Arial" w:hAnsi="Arial" w:cs="Arial"/>
        </w:rPr>
      </w:pPr>
    </w:p>
    <w:p w14:paraId="511B0454" w14:textId="77777777" w:rsidR="003C4BBB" w:rsidRPr="005E62CE" w:rsidRDefault="003C4BBB" w:rsidP="003C4BBB">
      <w:pPr>
        <w:rPr>
          <w:rFonts w:ascii="Arial" w:hAnsi="Arial" w:cs="Arial"/>
        </w:rPr>
      </w:pPr>
    </w:p>
    <w:p w14:paraId="1481EC60" w14:textId="77777777" w:rsidR="003C4BBB" w:rsidRPr="005E62CE" w:rsidRDefault="003C4BBB" w:rsidP="003C4BBB">
      <w:pPr>
        <w:rPr>
          <w:rFonts w:ascii="Arial" w:hAnsi="Arial" w:cs="Arial"/>
        </w:rPr>
      </w:pPr>
      <w:r w:rsidRPr="005E62CE">
        <w:rPr>
          <w:rFonts w:ascii="Arial" w:hAnsi="Arial" w:cs="Arial"/>
        </w:rPr>
        <w:t>Le graphique ci-dessous présente la performance totale cumulée entre les deux portefeuilles.</w:t>
      </w:r>
    </w:p>
    <w:p w14:paraId="5755E65B" w14:textId="77777777" w:rsidR="00E9424F" w:rsidRPr="005E62CE" w:rsidRDefault="00E9424F" w:rsidP="003C4BBB">
      <w:pPr>
        <w:rPr>
          <w:rFonts w:ascii="Arial" w:hAnsi="Arial" w:cs="Arial"/>
        </w:rPr>
      </w:pPr>
    </w:p>
    <w:p w14:paraId="157315D7" w14:textId="77777777" w:rsidR="003C4BBB" w:rsidRPr="005E62CE" w:rsidRDefault="00E9424F" w:rsidP="003C4BBB">
      <w:pPr>
        <w:rPr>
          <w:rFonts w:ascii="Arial" w:hAnsi="Arial" w:cs="Arial"/>
          <w:b/>
        </w:rPr>
      </w:pPr>
      <w:r w:rsidRPr="005E62CE">
        <w:rPr>
          <w:rFonts w:ascii="Arial" w:hAnsi="Arial" w:cs="Arial"/>
          <w:b/>
        </w:rPr>
        <w:t xml:space="preserve">                          </w:t>
      </w:r>
      <w:r w:rsidRPr="005E62CE">
        <w:rPr>
          <w:rFonts w:ascii="Arial" w:hAnsi="Arial" w:cs="Arial"/>
          <w:noProof/>
          <w:lang w:eastAsia="fr-FR"/>
        </w:rPr>
        <w:drawing>
          <wp:inline distT="0" distB="0" distL="0" distR="0" wp14:anchorId="447B7257" wp14:editId="39B6D8C9">
            <wp:extent cx="6517082" cy="3158490"/>
            <wp:effectExtent l="0" t="0" r="0" b="3810"/>
            <wp:docPr id="11" name="Graphique 11">
              <a:extLst xmlns:a="http://schemas.openxmlformats.org/drawingml/2006/main">
                <a:ext uri="{FF2B5EF4-FFF2-40B4-BE49-F238E27FC236}">
                  <a16:creationId xmlns:a16="http://schemas.microsoft.com/office/drawing/2014/main" id="{D1E87D20-2A98-497E-9C7C-20F233197B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B373A23" w14:textId="77777777" w:rsidR="0052214F" w:rsidRPr="0052214F" w:rsidRDefault="0052214F" w:rsidP="003C4BBB">
      <w:pPr>
        <w:rPr>
          <w:rFonts w:ascii="Arial" w:hAnsi="Arial" w:cs="Arial"/>
          <w:color w:val="808080" w:themeColor="background1" w:themeShade="80"/>
        </w:rPr>
      </w:pPr>
    </w:p>
    <w:p w14:paraId="7B199857" w14:textId="557A2DAD" w:rsidR="00E9424F" w:rsidRPr="005E62CE" w:rsidRDefault="00767C87" w:rsidP="003C4BBB">
      <w:pPr>
        <w:rPr>
          <w:rFonts w:ascii="Arial" w:hAnsi="Arial" w:cs="Arial"/>
          <w:i/>
          <w:color w:val="808080" w:themeColor="background1" w:themeShade="80"/>
        </w:rPr>
      </w:pPr>
      <w:r w:rsidRPr="005E62CE">
        <w:rPr>
          <w:rFonts w:ascii="Arial" w:hAnsi="Arial" w:cs="Arial"/>
          <w:i/>
          <w:color w:val="808080" w:themeColor="background1" w:themeShade="80"/>
        </w:rPr>
        <w:t>Source : AXA IM au 31/03/2020</w:t>
      </w:r>
    </w:p>
    <w:p w14:paraId="4207D504" w14:textId="77777777" w:rsidR="00767C87" w:rsidRPr="005E62CE" w:rsidRDefault="00767C87" w:rsidP="003C4BBB">
      <w:pPr>
        <w:rPr>
          <w:rFonts w:ascii="Arial" w:hAnsi="Arial" w:cs="Arial"/>
        </w:rPr>
      </w:pPr>
    </w:p>
    <w:p w14:paraId="1FF64D80" w14:textId="2937E47F" w:rsidR="003C4BBB" w:rsidRPr="005E62CE" w:rsidRDefault="00767C87" w:rsidP="00E9424F">
      <w:pPr>
        <w:spacing w:before="60" w:after="60"/>
        <w:rPr>
          <w:rFonts w:ascii="Arial" w:hAnsi="Arial" w:cs="Arial"/>
        </w:rPr>
      </w:pPr>
      <w:r w:rsidRPr="005E62CE">
        <w:rPr>
          <w:rFonts w:ascii="Arial" w:hAnsi="Arial" w:cs="Arial"/>
        </w:rPr>
        <w:t xml:space="preserve">En étudiant la performance d’un point de vue sectoriel, nous avons pu observer que les écarts de performance venaient des </w:t>
      </w:r>
      <w:r w:rsidR="003C4BBB" w:rsidRPr="005E62CE">
        <w:rPr>
          <w:rFonts w:ascii="Arial" w:hAnsi="Arial" w:cs="Arial"/>
        </w:rPr>
        <w:t>obligations d’émetteurs industriels (</w:t>
      </w:r>
      <w:r w:rsidRPr="005E62CE">
        <w:rPr>
          <w:rFonts w:ascii="Arial" w:hAnsi="Arial" w:cs="Arial"/>
        </w:rPr>
        <w:t xml:space="preserve">hors </w:t>
      </w:r>
      <w:r w:rsidR="003C4BBB" w:rsidRPr="005E62CE">
        <w:rPr>
          <w:rFonts w:ascii="Arial" w:hAnsi="Arial" w:cs="Arial"/>
        </w:rPr>
        <w:t>services aux collectivités et des établissements financiers)</w:t>
      </w:r>
      <w:r w:rsidRPr="005E62CE">
        <w:rPr>
          <w:rFonts w:ascii="Arial" w:hAnsi="Arial" w:cs="Arial"/>
        </w:rPr>
        <w:t xml:space="preserve">, </w:t>
      </w:r>
      <w:r w:rsidR="004A0E4D" w:rsidRPr="005E62CE">
        <w:rPr>
          <w:rFonts w:ascii="Arial" w:hAnsi="Arial" w:cs="Arial"/>
        </w:rPr>
        <w:t xml:space="preserve">un segment qui </w:t>
      </w:r>
      <w:r w:rsidR="003C4BBB" w:rsidRPr="005E62CE">
        <w:rPr>
          <w:rFonts w:ascii="Arial" w:hAnsi="Arial" w:cs="Arial"/>
        </w:rPr>
        <w:t xml:space="preserve">représente plus de la moitié de la pondération de l’indice. </w:t>
      </w:r>
      <w:r w:rsidR="004A0E4D" w:rsidRPr="005E62CE">
        <w:rPr>
          <w:rFonts w:ascii="Arial" w:hAnsi="Arial" w:cs="Arial"/>
        </w:rPr>
        <w:t xml:space="preserve">De plus, </w:t>
      </w:r>
      <w:r w:rsidR="003C4BBB" w:rsidRPr="005E62CE">
        <w:rPr>
          <w:rFonts w:ascii="Arial" w:hAnsi="Arial" w:cs="Arial"/>
        </w:rPr>
        <w:t>les Leaders ESG affichaient une volatilité inférieure à celle des Retardataires ESG.</w:t>
      </w:r>
    </w:p>
    <w:p w14:paraId="4707DFC5" w14:textId="36BAA145" w:rsidR="003C4BBB" w:rsidRDefault="003C4BBB" w:rsidP="003C4BBB">
      <w:pPr>
        <w:rPr>
          <w:rFonts w:ascii="Arial" w:hAnsi="Arial" w:cs="Arial"/>
          <w:b/>
        </w:rPr>
      </w:pPr>
    </w:p>
    <w:p w14:paraId="30C9A9EF" w14:textId="438915CF" w:rsidR="000F3478" w:rsidRDefault="000F3478" w:rsidP="003C4BBB">
      <w:pPr>
        <w:rPr>
          <w:rFonts w:ascii="Arial" w:hAnsi="Arial" w:cs="Arial"/>
          <w:b/>
        </w:rPr>
      </w:pPr>
    </w:p>
    <w:p w14:paraId="7D1673D2" w14:textId="77777777" w:rsidR="000F3478" w:rsidRPr="005E62CE" w:rsidRDefault="000F3478" w:rsidP="003C4BBB">
      <w:pPr>
        <w:rPr>
          <w:rFonts w:ascii="Arial" w:hAnsi="Arial" w:cs="Arial"/>
          <w:b/>
        </w:rPr>
      </w:pPr>
    </w:p>
    <w:p w14:paraId="6389DF75" w14:textId="244C88F0" w:rsidR="008A1437" w:rsidRPr="00990552" w:rsidRDefault="00990552" w:rsidP="008A1437">
      <w:pPr>
        <w:rPr>
          <w:rFonts w:ascii="Arial" w:hAnsi="Arial" w:cs="Arial"/>
          <w:sz w:val="28"/>
          <w:lang w:val="en-GB"/>
        </w:rPr>
      </w:pPr>
      <w:r w:rsidRPr="00990552">
        <w:rPr>
          <w:rFonts w:ascii="Arial" w:hAnsi="Arial" w:cs="Arial"/>
          <w:sz w:val="16"/>
          <w:szCs w:val="10"/>
          <w:vertAlign w:val="superscript"/>
          <w:lang w:val="en-GB"/>
        </w:rPr>
        <w:t>4</w:t>
      </w:r>
      <w:r w:rsidRPr="00990552">
        <w:rPr>
          <w:rFonts w:ascii="Arial" w:hAnsi="Arial" w:cs="Arial"/>
          <w:sz w:val="16"/>
          <w:szCs w:val="10"/>
          <w:lang w:val="en-GB"/>
        </w:rPr>
        <w:t xml:space="preserve"> Bloomberg Barclays Global Corporate Aggregate bond index, </w:t>
      </w:r>
      <w:r>
        <w:rPr>
          <w:rFonts w:ascii="Arial" w:hAnsi="Arial" w:cs="Arial"/>
          <w:sz w:val="16"/>
          <w:szCs w:val="10"/>
          <w:lang w:val="en-GB"/>
        </w:rPr>
        <w:t xml:space="preserve">performance </w:t>
      </w:r>
      <w:proofErr w:type="spellStart"/>
      <w:r>
        <w:rPr>
          <w:rFonts w:ascii="Arial" w:hAnsi="Arial" w:cs="Arial"/>
          <w:sz w:val="16"/>
          <w:szCs w:val="10"/>
          <w:lang w:val="en-GB"/>
        </w:rPr>
        <w:t>nette</w:t>
      </w:r>
      <w:proofErr w:type="spellEnd"/>
      <w:r>
        <w:rPr>
          <w:rFonts w:ascii="Arial" w:hAnsi="Arial" w:cs="Arial"/>
          <w:sz w:val="16"/>
          <w:szCs w:val="10"/>
          <w:lang w:val="en-GB"/>
        </w:rPr>
        <w:t xml:space="preserve"> </w:t>
      </w:r>
      <w:proofErr w:type="spellStart"/>
      <w:r>
        <w:rPr>
          <w:rFonts w:ascii="Arial" w:hAnsi="Arial" w:cs="Arial"/>
          <w:sz w:val="16"/>
          <w:szCs w:val="10"/>
          <w:lang w:val="en-GB"/>
        </w:rPr>
        <w:t>en</w:t>
      </w:r>
      <w:proofErr w:type="spellEnd"/>
      <w:r>
        <w:rPr>
          <w:rFonts w:ascii="Arial" w:hAnsi="Arial" w:cs="Arial"/>
          <w:sz w:val="16"/>
          <w:szCs w:val="10"/>
          <w:lang w:val="en-GB"/>
        </w:rPr>
        <w:t xml:space="preserve"> euro, non </w:t>
      </w:r>
      <w:proofErr w:type="spellStart"/>
      <w:r>
        <w:rPr>
          <w:rFonts w:ascii="Arial" w:hAnsi="Arial" w:cs="Arial"/>
          <w:sz w:val="16"/>
          <w:szCs w:val="10"/>
          <w:lang w:val="en-GB"/>
        </w:rPr>
        <w:t>couvert</w:t>
      </w:r>
      <w:proofErr w:type="spellEnd"/>
      <w:r>
        <w:rPr>
          <w:rFonts w:ascii="Arial" w:hAnsi="Arial" w:cs="Arial"/>
          <w:sz w:val="16"/>
          <w:szCs w:val="10"/>
          <w:lang w:val="en-GB"/>
        </w:rPr>
        <w:t>.</w:t>
      </w:r>
    </w:p>
    <w:p w14:paraId="6B7295C6" w14:textId="75897D39" w:rsidR="0052214F" w:rsidRDefault="0052214F" w:rsidP="008A1437">
      <w:pPr>
        <w:rPr>
          <w:rFonts w:ascii="Arial" w:hAnsi="Arial" w:cs="Arial"/>
          <w:lang w:val="en-GB"/>
        </w:rPr>
      </w:pPr>
    </w:p>
    <w:p w14:paraId="3695DD6F" w14:textId="0EA968D4" w:rsidR="00990552" w:rsidRDefault="00990552" w:rsidP="008A1437">
      <w:pPr>
        <w:rPr>
          <w:rFonts w:ascii="Arial" w:hAnsi="Arial" w:cs="Arial"/>
          <w:lang w:val="en-GB"/>
        </w:rPr>
      </w:pPr>
    </w:p>
    <w:p w14:paraId="14274630" w14:textId="77777777" w:rsidR="007E71E4" w:rsidRPr="00990552" w:rsidRDefault="007E71E4" w:rsidP="008A1437">
      <w:pPr>
        <w:rPr>
          <w:rFonts w:ascii="Arial" w:hAnsi="Arial" w:cs="Arial"/>
          <w:lang w:val="en-GB"/>
        </w:rPr>
      </w:pPr>
    </w:p>
    <w:p w14:paraId="4DEE0076" w14:textId="77777777" w:rsidR="008A1437" w:rsidRPr="005E62CE" w:rsidRDefault="008A1437" w:rsidP="0052214F">
      <w:pPr>
        <w:autoSpaceDE/>
        <w:autoSpaceDN/>
        <w:adjustRightInd/>
        <w:spacing w:after="120"/>
        <w:rPr>
          <w:rFonts w:ascii="Arial" w:hAnsi="Arial" w:cs="Arial"/>
          <w:b/>
          <w:noProof/>
          <w:vanish/>
          <w:color w:val="00008F"/>
          <w:sz w:val="24"/>
          <w:szCs w:val="24"/>
          <w:specVanish/>
        </w:rPr>
      </w:pPr>
    </w:p>
    <w:p w14:paraId="651384FE" w14:textId="6CE1AF4F" w:rsidR="003C4BBB" w:rsidRPr="005E62CE" w:rsidRDefault="003C4BBB" w:rsidP="0052214F">
      <w:pPr>
        <w:spacing w:after="120"/>
        <w:rPr>
          <w:rFonts w:ascii="Arial" w:hAnsi="Arial" w:cs="Arial"/>
          <w:b/>
          <w:noProof/>
          <w:color w:val="00008F"/>
          <w:sz w:val="24"/>
          <w:szCs w:val="24"/>
        </w:rPr>
      </w:pPr>
      <w:r w:rsidRPr="005E62CE">
        <w:rPr>
          <w:rFonts w:ascii="Arial" w:hAnsi="Arial" w:cs="Arial"/>
          <w:b/>
          <w:color w:val="00008F"/>
          <w:sz w:val="24"/>
          <w:szCs w:val="24"/>
        </w:rPr>
        <w:t xml:space="preserve">Politiques d’exclusion et standards d’AXA IM – Mise à jour </w:t>
      </w:r>
      <w:r w:rsidR="00C2401E" w:rsidRPr="005E62CE">
        <w:rPr>
          <w:rFonts w:ascii="Arial" w:hAnsi="Arial" w:cs="Arial"/>
          <w:b/>
          <w:color w:val="00008F"/>
          <w:sz w:val="24"/>
          <w:szCs w:val="24"/>
        </w:rPr>
        <w:t>au</w:t>
      </w:r>
      <w:r w:rsidRPr="005E62CE">
        <w:rPr>
          <w:rFonts w:ascii="Arial" w:hAnsi="Arial" w:cs="Arial"/>
          <w:b/>
          <w:color w:val="00008F"/>
          <w:sz w:val="24"/>
          <w:szCs w:val="24"/>
        </w:rPr>
        <w:t xml:space="preserve"> 1</w:t>
      </w:r>
      <w:r w:rsidRPr="005E62CE">
        <w:rPr>
          <w:rFonts w:ascii="Arial" w:hAnsi="Arial" w:cs="Arial"/>
          <w:b/>
          <w:color w:val="00008F"/>
          <w:sz w:val="24"/>
          <w:szCs w:val="24"/>
          <w:vertAlign w:val="superscript"/>
        </w:rPr>
        <w:t>er</w:t>
      </w:r>
      <w:r w:rsidRPr="005E62CE">
        <w:rPr>
          <w:rFonts w:ascii="Arial" w:hAnsi="Arial" w:cs="Arial"/>
          <w:b/>
          <w:color w:val="00008F"/>
          <w:sz w:val="24"/>
          <w:szCs w:val="24"/>
        </w:rPr>
        <w:t> trimestre</w:t>
      </w:r>
    </w:p>
    <w:p w14:paraId="38E1DEB6" w14:textId="12C4EA50" w:rsidR="003C4BBB" w:rsidRPr="005E62CE" w:rsidRDefault="003C4BBB" w:rsidP="00E9424F">
      <w:pPr>
        <w:spacing w:before="60" w:after="60"/>
        <w:rPr>
          <w:rFonts w:ascii="Arial" w:hAnsi="Arial" w:cs="Arial"/>
        </w:rPr>
      </w:pPr>
      <w:r w:rsidRPr="005E62CE">
        <w:rPr>
          <w:rFonts w:ascii="Arial" w:hAnsi="Arial" w:cs="Arial"/>
        </w:rPr>
        <w:t xml:space="preserve">En début d’année, nous avons publié une analyse </w:t>
      </w:r>
      <w:r w:rsidR="00C2401E" w:rsidRPr="005E62CE">
        <w:rPr>
          <w:rFonts w:ascii="Arial" w:hAnsi="Arial" w:cs="Arial"/>
        </w:rPr>
        <w:t xml:space="preserve">qui explicitait la manière dont </w:t>
      </w:r>
      <w:r w:rsidRPr="005E62CE">
        <w:rPr>
          <w:rFonts w:ascii="Arial" w:hAnsi="Arial" w:cs="Arial"/>
        </w:rPr>
        <w:t xml:space="preserve">les politiques d’exclusion et les standards d’investissement ESG d’AXA IM avaient </w:t>
      </w:r>
      <w:r w:rsidR="00D37861" w:rsidRPr="005E62CE">
        <w:rPr>
          <w:rFonts w:ascii="Arial" w:hAnsi="Arial" w:cs="Arial"/>
        </w:rPr>
        <w:t>impacté la performance</w:t>
      </w:r>
      <w:r w:rsidRPr="005E62CE">
        <w:rPr>
          <w:rFonts w:ascii="Arial" w:hAnsi="Arial" w:cs="Arial"/>
          <w:vertAlign w:val="superscript"/>
        </w:rPr>
        <w:t>5</w:t>
      </w:r>
      <w:r w:rsidRPr="005E62CE">
        <w:rPr>
          <w:rFonts w:ascii="Arial" w:hAnsi="Arial" w:cs="Arial"/>
        </w:rPr>
        <w:t xml:space="preserve"> au fil des années. Nous avons de nouveau réalisé cette analyse </w:t>
      </w:r>
      <w:r w:rsidR="00C2401E" w:rsidRPr="005E62CE">
        <w:rPr>
          <w:rFonts w:ascii="Arial" w:hAnsi="Arial" w:cs="Arial"/>
        </w:rPr>
        <w:t>au 1</w:t>
      </w:r>
      <w:r w:rsidR="00C2401E" w:rsidRPr="005E62CE">
        <w:rPr>
          <w:rFonts w:ascii="Arial" w:hAnsi="Arial" w:cs="Arial"/>
          <w:vertAlign w:val="superscript"/>
        </w:rPr>
        <w:t>er</w:t>
      </w:r>
      <w:r w:rsidR="00C2401E" w:rsidRPr="005E62CE">
        <w:rPr>
          <w:rFonts w:ascii="Arial" w:hAnsi="Arial" w:cs="Arial"/>
        </w:rPr>
        <w:t xml:space="preserve"> </w:t>
      </w:r>
      <w:r w:rsidRPr="005E62CE">
        <w:rPr>
          <w:rFonts w:ascii="Arial" w:hAnsi="Arial" w:cs="Arial"/>
        </w:rPr>
        <w:t>trimestre 2020. Les résultats ont montré que nos politiques d’exclusion et standards ESG ont contribué à la surperformance de nos investissements. Les résultats étaient les suivants :</w:t>
      </w:r>
    </w:p>
    <w:p w14:paraId="4C29CF2C" w14:textId="77777777" w:rsidR="003C4BBB" w:rsidRPr="005E62CE" w:rsidRDefault="003C4BBB" w:rsidP="003C4BBB">
      <w:pPr>
        <w:rPr>
          <w:rFonts w:ascii="Arial" w:hAnsi="Arial" w:cs="Arial"/>
        </w:rPr>
      </w:pPr>
    </w:p>
    <w:tbl>
      <w:tblPr>
        <w:tblStyle w:val="Grilledutableau"/>
        <w:tblW w:w="10457" w:type="dxa"/>
        <w:jc w:val="center"/>
        <w:tblLayout w:type="fixed"/>
        <w:tblLook w:val="04A0" w:firstRow="1" w:lastRow="0" w:firstColumn="1" w:lastColumn="0" w:noHBand="0" w:noVBand="1"/>
      </w:tblPr>
      <w:tblGrid>
        <w:gridCol w:w="5245"/>
        <w:gridCol w:w="1191"/>
        <w:gridCol w:w="1341"/>
        <w:gridCol w:w="1489"/>
        <w:gridCol w:w="1191"/>
      </w:tblGrid>
      <w:tr w:rsidR="000A595E" w:rsidRPr="000F3478" w14:paraId="32462A36" w14:textId="77777777" w:rsidTr="000F3478">
        <w:trPr>
          <w:cnfStyle w:val="100000000000" w:firstRow="1" w:lastRow="0" w:firstColumn="0" w:lastColumn="0" w:oddVBand="0" w:evenVBand="0" w:oddHBand="0" w:evenHBand="0" w:firstRowFirstColumn="0" w:firstRowLastColumn="0" w:lastRowFirstColumn="0" w:lastRowLastColumn="0"/>
          <w:trHeight w:val="479"/>
          <w:jc w:val="center"/>
        </w:trPr>
        <w:tc>
          <w:tcPr>
            <w:tcW w:w="5245" w:type="dxa"/>
            <w:noWrap/>
            <w:vAlign w:val="center"/>
            <w:hideMark/>
          </w:tcPr>
          <w:p w14:paraId="7AFDA9C4" w14:textId="77777777" w:rsidR="000A595E" w:rsidRPr="000F3478" w:rsidRDefault="000A595E" w:rsidP="000F3478">
            <w:pPr>
              <w:rPr>
                <w:rFonts w:ascii="Arial" w:hAnsi="Arial" w:cs="Arial"/>
                <w:color w:val="000000"/>
                <w:sz w:val="18"/>
                <w:szCs w:val="24"/>
              </w:rPr>
            </w:pPr>
            <w:r w:rsidRPr="000F3478">
              <w:rPr>
                <w:rFonts w:ascii="Arial" w:hAnsi="Arial" w:cs="Arial"/>
                <w:color w:val="000000"/>
                <w:sz w:val="18"/>
                <w:szCs w:val="24"/>
              </w:rPr>
              <w:t> </w:t>
            </w:r>
          </w:p>
        </w:tc>
        <w:tc>
          <w:tcPr>
            <w:tcW w:w="1191" w:type="dxa"/>
            <w:noWrap/>
            <w:vAlign w:val="center"/>
            <w:hideMark/>
          </w:tcPr>
          <w:p w14:paraId="7066BBC9" w14:textId="38FE446F" w:rsidR="000A595E" w:rsidRPr="000F3478" w:rsidRDefault="000A595E" w:rsidP="000F3478">
            <w:pPr>
              <w:jc w:val="center"/>
              <w:rPr>
                <w:rFonts w:ascii="Arial" w:hAnsi="Arial" w:cs="Arial"/>
                <w:bCs w:val="0"/>
                <w:color w:val="000000"/>
                <w:sz w:val="18"/>
                <w:szCs w:val="24"/>
              </w:rPr>
            </w:pPr>
            <w:r w:rsidRPr="000F3478">
              <w:rPr>
                <w:rFonts w:ascii="Arial" w:hAnsi="Arial" w:cs="Arial"/>
                <w:color w:val="000000"/>
                <w:sz w:val="18"/>
                <w:szCs w:val="24"/>
              </w:rPr>
              <w:t>Univers exclu (%)</w:t>
            </w:r>
          </w:p>
        </w:tc>
        <w:tc>
          <w:tcPr>
            <w:tcW w:w="1341" w:type="dxa"/>
            <w:noWrap/>
            <w:vAlign w:val="center"/>
            <w:hideMark/>
          </w:tcPr>
          <w:p w14:paraId="184CBFBE" w14:textId="77777777" w:rsidR="000A595E" w:rsidRPr="000F3478" w:rsidRDefault="000A595E" w:rsidP="000F3478">
            <w:pPr>
              <w:jc w:val="center"/>
              <w:rPr>
                <w:rFonts w:ascii="Arial" w:hAnsi="Arial" w:cs="Arial"/>
                <w:b w:val="0"/>
                <w:color w:val="000000"/>
                <w:sz w:val="18"/>
                <w:szCs w:val="24"/>
              </w:rPr>
            </w:pPr>
            <w:r w:rsidRPr="000F3478">
              <w:rPr>
                <w:rFonts w:ascii="Arial" w:hAnsi="Arial" w:cs="Arial"/>
                <w:color w:val="000000"/>
                <w:sz w:val="18"/>
                <w:szCs w:val="24"/>
              </w:rPr>
              <w:t xml:space="preserve">Rendement </w:t>
            </w:r>
          </w:p>
          <w:p w14:paraId="303F0A54" w14:textId="14E10A17" w:rsidR="000A595E" w:rsidRPr="000F3478" w:rsidRDefault="000A595E" w:rsidP="000F3478">
            <w:pPr>
              <w:jc w:val="center"/>
              <w:rPr>
                <w:rFonts w:ascii="Arial" w:hAnsi="Arial" w:cs="Arial"/>
                <w:bCs w:val="0"/>
                <w:color w:val="000000"/>
                <w:sz w:val="18"/>
                <w:szCs w:val="24"/>
              </w:rPr>
            </w:pPr>
            <w:r w:rsidRPr="000F3478">
              <w:rPr>
                <w:rFonts w:ascii="Arial" w:hAnsi="Arial" w:cs="Arial"/>
                <w:color w:val="000000"/>
                <w:sz w:val="18"/>
                <w:szCs w:val="24"/>
              </w:rPr>
              <w:t>(%)</w:t>
            </w:r>
          </w:p>
        </w:tc>
        <w:tc>
          <w:tcPr>
            <w:tcW w:w="1489" w:type="dxa"/>
            <w:noWrap/>
            <w:vAlign w:val="center"/>
            <w:hideMark/>
          </w:tcPr>
          <w:p w14:paraId="54DC07EB" w14:textId="77777777" w:rsidR="000A595E" w:rsidRPr="000F3478" w:rsidRDefault="000A595E" w:rsidP="000F3478">
            <w:pPr>
              <w:jc w:val="center"/>
              <w:rPr>
                <w:rFonts w:ascii="Arial" w:hAnsi="Arial" w:cs="Arial"/>
                <w:b w:val="0"/>
                <w:color w:val="000000"/>
                <w:sz w:val="18"/>
                <w:szCs w:val="24"/>
              </w:rPr>
            </w:pPr>
            <w:r w:rsidRPr="000F3478">
              <w:rPr>
                <w:rFonts w:ascii="Arial" w:hAnsi="Arial" w:cs="Arial"/>
                <w:color w:val="000000"/>
                <w:sz w:val="18"/>
                <w:szCs w:val="24"/>
              </w:rPr>
              <w:t xml:space="preserve">Surperformance </w:t>
            </w:r>
          </w:p>
          <w:p w14:paraId="7D7BF92D" w14:textId="53649604" w:rsidR="000A595E" w:rsidRPr="000F3478" w:rsidRDefault="000A595E" w:rsidP="000F3478">
            <w:pPr>
              <w:jc w:val="center"/>
              <w:rPr>
                <w:rFonts w:ascii="Arial" w:hAnsi="Arial" w:cs="Arial"/>
                <w:bCs w:val="0"/>
                <w:color w:val="000000"/>
                <w:sz w:val="18"/>
                <w:szCs w:val="24"/>
              </w:rPr>
            </w:pPr>
            <w:r w:rsidRPr="000F3478">
              <w:rPr>
                <w:rFonts w:ascii="Arial" w:hAnsi="Arial" w:cs="Arial"/>
                <w:color w:val="000000"/>
                <w:sz w:val="18"/>
                <w:szCs w:val="24"/>
              </w:rPr>
              <w:t>(%)</w:t>
            </w:r>
          </w:p>
        </w:tc>
        <w:tc>
          <w:tcPr>
            <w:tcW w:w="1191" w:type="dxa"/>
            <w:noWrap/>
            <w:vAlign w:val="center"/>
            <w:hideMark/>
          </w:tcPr>
          <w:p w14:paraId="18132A30" w14:textId="1D18BA27" w:rsidR="000A595E" w:rsidRPr="000F3478" w:rsidRDefault="000A595E" w:rsidP="000F3478">
            <w:pPr>
              <w:jc w:val="center"/>
              <w:rPr>
                <w:rFonts w:ascii="Arial" w:hAnsi="Arial" w:cs="Arial"/>
                <w:bCs w:val="0"/>
                <w:color w:val="000000"/>
                <w:sz w:val="18"/>
                <w:szCs w:val="24"/>
              </w:rPr>
            </w:pPr>
            <w:proofErr w:type="spellStart"/>
            <w:r w:rsidRPr="000F3478">
              <w:rPr>
                <w:rFonts w:ascii="Arial" w:hAnsi="Arial" w:cs="Arial"/>
                <w:color w:val="000000"/>
                <w:sz w:val="18"/>
                <w:szCs w:val="24"/>
              </w:rPr>
              <w:t>Tracking</w:t>
            </w:r>
            <w:proofErr w:type="spellEnd"/>
            <w:r w:rsidRPr="000F3478">
              <w:rPr>
                <w:rFonts w:ascii="Arial" w:hAnsi="Arial" w:cs="Arial"/>
                <w:color w:val="000000"/>
                <w:sz w:val="18"/>
                <w:szCs w:val="24"/>
              </w:rPr>
              <w:t xml:space="preserve"> </w:t>
            </w:r>
            <w:proofErr w:type="spellStart"/>
            <w:r w:rsidRPr="000F3478">
              <w:rPr>
                <w:rFonts w:ascii="Arial" w:hAnsi="Arial" w:cs="Arial"/>
                <w:color w:val="000000"/>
                <w:sz w:val="18"/>
                <w:szCs w:val="24"/>
              </w:rPr>
              <w:t>Error</w:t>
            </w:r>
            <w:proofErr w:type="spellEnd"/>
            <w:r w:rsidRPr="000F3478">
              <w:rPr>
                <w:rFonts w:ascii="Arial" w:hAnsi="Arial" w:cs="Arial"/>
                <w:color w:val="000000"/>
                <w:sz w:val="18"/>
                <w:szCs w:val="24"/>
              </w:rPr>
              <w:t xml:space="preserve"> (%)</w:t>
            </w:r>
          </w:p>
        </w:tc>
      </w:tr>
      <w:tr w:rsidR="003C4BBB" w:rsidRPr="000F3478" w14:paraId="5ABBD91D" w14:textId="77777777" w:rsidTr="000F3478">
        <w:trPr>
          <w:trHeight w:val="309"/>
          <w:jc w:val="center"/>
        </w:trPr>
        <w:tc>
          <w:tcPr>
            <w:tcW w:w="5245" w:type="dxa"/>
            <w:noWrap/>
            <w:vAlign w:val="center"/>
            <w:hideMark/>
          </w:tcPr>
          <w:p w14:paraId="75654D37" w14:textId="77777777" w:rsidR="003C4BBB" w:rsidRPr="000F3478" w:rsidRDefault="003C4BBB" w:rsidP="000F3478">
            <w:pPr>
              <w:rPr>
                <w:rFonts w:ascii="Arial" w:hAnsi="Arial" w:cs="Arial"/>
                <w:b/>
                <w:color w:val="000000"/>
                <w:sz w:val="18"/>
                <w:szCs w:val="24"/>
              </w:rPr>
            </w:pPr>
            <w:r w:rsidRPr="000F3478">
              <w:rPr>
                <w:rFonts w:ascii="Arial" w:hAnsi="Arial" w:cs="Arial"/>
                <w:b/>
                <w:color w:val="000000"/>
                <w:sz w:val="18"/>
                <w:szCs w:val="24"/>
              </w:rPr>
              <w:t>Indice MSCI ACWI</w:t>
            </w:r>
          </w:p>
        </w:tc>
        <w:tc>
          <w:tcPr>
            <w:tcW w:w="1191" w:type="dxa"/>
            <w:noWrap/>
            <w:vAlign w:val="center"/>
            <w:hideMark/>
          </w:tcPr>
          <w:p w14:paraId="4A502CB1" w14:textId="5C394887" w:rsidR="003C4BBB" w:rsidRPr="000F3478" w:rsidRDefault="005117DE" w:rsidP="000F3478">
            <w:pPr>
              <w:jc w:val="center"/>
              <w:rPr>
                <w:rFonts w:ascii="Arial" w:hAnsi="Arial" w:cs="Arial"/>
                <w:color w:val="000000"/>
                <w:sz w:val="18"/>
                <w:szCs w:val="24"/>
              </w:rPr>
            </w:pPr>
            <w:proofErr w:type="spellStart"/>
            <w:r>
              <w:rPr>
                <w:rFonts w:ascii="Arial" w:hAnsi="Arial" w:cs="Arial"/>
                <w:color w:val="000000"/>
                <w:sz w:val="18"/>
                <w:szCs w:val="24"/>
              </w:rPr>
              <w:t>n.a</w:t>
            </w:r>
            <w:proofErr w:type="spellEnd"/>
          </w:p>
        </w:tc>
        <w:tc>
          <w:tcPr>
            <w:tcW w:w="1341" w:type="dxa"/>
            <w:noWrap/>
            <w:vAlign w:val="center"/>
            <w:hideMark/>
          </w:tcPr>
          <w:p w14:paraId="00CF69EE" w14:textId="77777777" w:rsidR="003C4BBB" w:rsidRPr="000F3478" w:rsidRDefault="003C4BBB" w:rsidP="000F3478">
            <w:pPr>
              <w:jc w:val="center"/>
              <w:rPr>
                <w:rFonts w:ascii="Arial" w:hAnsi="Arial" w:cs="Arial"/>
                <w:color w:val="000000"/>
                <w:sz w:val="18"/>
                <w:szCs w:val="24"/>
              </w:rPr>
            </w:pPr>
            <w:r w:rsidRPr="000F3478">
              <w:rPr>
                <w:rFonts w:ascii="Arial" w:hAnsi="Arial" w:cs="Arial"/>
                <w:color w:val="000000"/>
                <w:sz w:val="18"/>
                <w:szCs w:val="24"/>
              </w:rPr>
              <w:t>-19,55</w:t>
            </w:r>
          </w:p>
        </w:tc>
        <w:tc>
          <w:tcPr>
            <w:tcW w:w="1489" w:type="dxa"/>
            <w:noWrap/>
            <w:vAlign w:val="center"/>
            <w:hideMark/>
          </w:tcPr>
          <w:p w14:paraId="301F8AF5" w14:textId="5868969C" w:rsidR="003C4BBB" w:rsidRPr="000F3478" w:rsidRDefault="005117DE" w:rsidP="000F3478">
            <w:pPr>
              <w:jc w:val="center"/>
              <w:rPr>
                <w:rFonts w:ascii="Arial" w:hAnsi="Arial" w:cs="Arial"/>
                <w:color w:val="000000"/>
                <w:sz w:val="18"/>
                <w:szCs w:val="24"/>
              </w:rPr>
            </w:pPr>
            <w:proofErr w:type="spellStart"/>
            <w:r>
              <w:rPr>
                <w:rFonts w:ascii="Arial" w:hAnsi="Arial" w:cs="Arial"/>
                <w:color w:val="000000"/>
                <w:sz w:val="18"/>
                <w:szCs w:val="24"/>
              </w:rPr>
              <w:t>n.a</w:t>
            </w:r>
            <w:proofErr w:type="spellEnd"/>
          </w:p>
        </w:tc>
        <w:tc>
          <w:tcPr>
            <w:tcW w:w="1191" w:type="dxa"/>
            <w:noWrap/>
            <w:vAlign w:val="center"/>
            <w:hideMark/>
          </w:tcPr>
          <w:p w14:paraId="45229506" w14:textId="2FB8A667" w:rsidR="003C4BBB" w:rsidRPr="000F3478" w:rsidRDefault="005117DE" w:rsidP="000F3478">
            <w:pPr>
              <w:jc w:val="center"/>
              <w:rPr>
                <w:rFonts w:ascii="Arial" w:hAnsi="Arial" w:cs="Arial"/>
                <w:color w:val="000000"/>
                <w:sz w:val="18"/>
                <w:szCs w:val="24"/>
              </w:rPr>
            </w:pPr>
            <w:proofErr w:type="spellStart"/>
            <w:r>
              <w:rPr>
                <w:rFonts w:ascii="Arial" w:hAnsi="Arial" w:cs="Arial"/>
                <w:color w:val="000000"/>
                <w:sz w:val="18"/>
                <w:szCs w:val="24"/>
              </w:rPr>
              <w:t>n.a</w:t>
            </w:r>
            <w:proofErr w:type="spellEnd"/>
          </w:p>
        </w:tc>
      </w:tr>
      <w:tr w:rsidR="003C4BBB" w:rsidRPr="000F3478" w14:paraId="38A51030" w14:textId="77777777" w:rsidTr="000F3478">
        <w:trPr>
          <w:trHeight w:val="309"/>
          <w:jc w:val="center"/>
        </w:trPr>
        <w:tc>
          <w:tcPr>
            <w:tcW w:w="5245" w:type="dxa"/>
            <w:noWrap/>
            <w:vAlign w:val="center"/>
            <w:hideMark/>
          </w:tcPr>
          <w:p w14:paraId="73850C18" w14:textId="6AB3CA36" w:rsidR="003C4BBB" w:rsidRPr="000F3478" w:rsidRDefault="003C4BBB" w:rsidP="000F3478">
            <w:pPr>
              <w:rPr>
                <w:rFonts w:ascii="Arial" w:hAnsi="Arial" w:cs="Arial"/>
                <w:b/>
                <w:color w:val="000000"/>
                <w:sz w:val="18"/>
                <w:szCs w:val="24"/>
              </w:rPr>
            </w:pPr>
            <w:r w:rsidRPr="000F3478">
              <w:rPr>
                <w:rFonts w:ascii="Arial" w:hAnsi="Arial" w:cs="Arial"/>
                <w:b/>
                <w:color w:val="000000"/>
                <w:sz w:val="18"/>
                <w:szCs w:val="24"/>
              </w:rPr>
              <w:t>Indice MSCI ACWI (</w:t>
            </w:r>
            <w:r w:rsidR="006C04D1" w:rsidRPr="000F3478">
              <w:rPr>
                <w:rFonts w:ascii="Arial" w:hAnsi="Arial" w:cs="Arial"/>
                <w:b/>
                <w:color w:val="000000"/>
                <w:sz w:val="18"/>
                <w:szCs w:val="24"/>
              </w:rPr>
              <w:t xml:space="preserve">incl. les </w:t>
            </w:r>
            <w:r w:rsidRPr="000F3478">
              <w:rPr>
                <w:rFonts w:ascii="Arial" w:hAnsi="Arial" w:cs="Arial"/>
                <w:b/>
                <w:color w:val="000000"/>
                <w:sz w:val="18"/>
                <w:szCs w:val="24"/>
              </w:rPr>
              <w:t>politiques sectorielles)</w:t>
            </w:r>
          </w:p>
        </w:tc>
        <w:tc>
          <w:tcPr>
            <w:tcW w:w="1191" w:type="dxa"/>
            <w:noWrap/>
            <w:vAlign w:val="center"/>
            <w:hideMark/>
          </w:tcPr>
          <w:p w14:paraId="522DD766" w14:textId="77777777" w:rsidR="003C4BBB" w:rsidRPr="000F3478" w:rsidRDefault="003C4BBB" w:rsidP="000F3478">
            <w:pPr>
              <w:ind w:firstLine="4"/>
              <w:jc w:val="center"/>
              <w:rPr>
                <w:rFonts w:ascii="Arial" w:hAnsi="Arial" w:cs="Arial"/>
                <w:color w:val="000000"/>
                <w:sz w:val="18"/>
                <w:szCs w:val="24"/>
              </w:rPr>
            </w:pPr>
            <w:r w:rsidRPr="000F3478">
              <w:rPr>
                <w:rFonts w:ascii="Arial" w:hAnsi="Arial" w:cs="Arial"/>
                <w:color w:val="000000"/>
                <w:sz w:val="18"/>
                <w:szCs w:val="24"/>
              </w:rPr>
              <w:t>2,20</w:t>
            </w:r>
          </w:p>
        </w:tc>
        <w:tc>
          <w:tcPr>
            <w:tcW w:w="1341" w:type="dxa"/>
            <w:noWrap/>
            <w:vAlign w:val="center"/>
            <w:hideMark/>
          </w:tcPr>
          <w:p w14:paraId="43AD4670" w14:textId="77777777" w:rsidR="003C4BBB" w:rsidRPr="000F3478" w:rsidRDefault="003C4BBB" w:rsidP="000F3478">
            <w:pPr>
              <w:jc w:val="center"/>
              <w:rPr>
                <w:rFonts w:ascii="Arial" w:hAnsi="Arial" w:cs="Arial"/>
                <w:color w:val="000000"/>
                <w:sz w:val="18"/>
                <w:szCs w:val="24"/>
              </w:rPr>
            </w:pPr>
            <w:r w:rsidRPr="000F3478">
              <w:rPr>
                <w:rFonts w:ascii="Arial" w:hAnsi="Arial" w:cs="Arial"/>
                <w:color w:val="000000"/>
                <w:sz w:val="18"/>
                <w:szCs w:val="24"/>
              </w:rPr>
              <w:t>-19,40</w:t>
            </w:r>
          </w:p>
        </w:tc>
        <w:tc>
          <w:tcPr>
            <w:tcW w:w="1489" w:type="dxa"/>
            <w:noWrap/>
            <w:vAlign w:val="center"/>
            <w:hideMark/>
          </w:tcPr>
          <w:p w14:paraId="6973FD1E" w14:textId="77777777" w:rsidR="003C4BBB" w:rsidRPr="000F3478" w:rsidRDefault="003C4BBB" w:rsidP="000F3478">
            <w:pPr>
              <w:jc w:val="center"/>
              <w:rPr>
                <w:rFonts w:ascii="Arial" w:hAnsi="Arial" w:cs="Arial"/>
                <w:b/>
                <w:bCs w:val="0"/>
                <w:color w:val="00ADC6"/>
                <w:sz w:val="18"/>
                <w:szCs w:val="24"/>
              </w:rPr>
            </w:pPr>
            <w:r w:rsidRPr="000F3478">
              <w:rPr>
                <w:rFonts w:ascii="Arial" w:hAnsi="Arial" w:cs="Arial"/>
                <w:b/>
                <w:color w:val="00ADC6"/>
                <w:sz w:val="18"/>
                <w:szCs w:val="24"/>
              </w:rPr>
              <w:t>0,15</w:t>
            </w:r>
          </w:p>
        </w:tc>
        <w:tc>
          <w:tcPr>
            <w:tcW w:w="1191" w:type="dxa"/>
            <w:noWrap/>
            <w:vAlign w:val="center"/>
            <w:hideMark/>
          </w:tcPr>
          <w:p w14:paraId="21C25E36" w14:textId="77777777" w:rsidR="003C4BBB" w:rsidRPr="000F3478" w:rsidRDefault="003C4BBB" w:rsidP="000F3478">
            <w:pPr>
              <w:jc w:val="center"/>
              <w:rPr>
                <w:rFonts w:ascii="Arial" w:hAnsi="Arial" w:cs="Arial"/>
                <w:b/>
                <w:bCs w:val="0"/>
                <w:color w:val="00ADC6"/>
                <w:sz w:val="18"/>
                <w:szCs w:val="24"/>
              </w:rPr>
            </w:pPr>
            <w:r w:rsidRPr="000F3478">
              <w:rPr>
                <w:rFonts w:ascii="Arial" w:hAnsi="Arial" w:cs="Arial"/>
                <w:b/>
                <w:color w:val="00ADC6"/>
                <w:sz w:val="18"/>
                <w:szCs w:val="24"/>
              </w:rPr>
              <w:t>0,28</w:t>
            </w:r>
          </w:p>
        </w:tc>
      </w:tr>
      <w:tr w:rsidR="003C4BBB" w:rsidRPr="000F3478" w14:paraId="1FF3536F" w14:textId="77777777" w:rsidTr="000F3478">
        <w:trPr>
          <w:trHeight w:val="309"/>
          <w:jc w:val="center"/>
        </w:trPr>
        <w:tc>
          <w:tcPr>
            <w:tcW w:w="5245" w:type="dxa"/>
            <w:noWrap/>
            <w:vAlign w:val="center"/>
            <w:hideMark/>
          </w:tcPr>
          <w:p w14:paraId="2F6AE1B9" w14:textId="0AE0DF75" w:rsidR="003C4BBB" w:rsidRPr="000F3478" w:rsidRDefault="003C4BBB" w:rsidP="000F3478">
            <w:pPr>
              <w:rPr>
                <w:rFonts w:ascii="Arial" w:hAnsi="Arial" w:cs="Arial"/>
                <w:b/>
                <w:color w:val="000000"/>
                <w:sz w:val="18"/>
                <w:szCs w:val="24"/>
              </w:rPr>
            </w:pPr>
            <w:r w:rsidRPr="000F3478">
              <w:rPr>
                <w:rFonts w:ascii="Arial" w:hAnsi="Arial" w:cs="Arial"/>
                <w:b/>
                <w:color w:val="000000"/>
                <w:sz w:val="18"/>
                <w:szCs w:val="24"/>
              </w:rPr>
              <w:t>Indice MSCI ACWI (</w:t>
            </w:r>
            <w:r w:rsidR="006C04D1" w:rsidRPr="000F3478">
              <w:rPr>
                <w:rFonts w:ascii="Arial" w:hAnsi="Arial" w:cs="Arial"/>
                <w:b/>
                <w:color w:val="000000"/>
                <w:sz w:val="18"/>
                <w:szCs w:val="24"/>
              </w:rPr>
              <w:t>incl.</w:t>
            </w:r>
            <w:r w:rsidRPr="000F3478">
              <w:rPr>
                <w:rFonts w:ascii="Arial" w:hAnsi="Arial" w:cs="Arial"/>
                <w:b/>
                <w:color w:val="000000"/>
                <w:sz w:val="18"/>
                <w:szCs w:val="24"/>
              </w:rPr>
              <w:t xml:space="preserve"> standards ESG</w:t>
            </w:r>
            <w:r w:rsidR="006C04D1" w:rsidRPr="000F3478">
              <w:rPr>
                <w:rFonts w:ascii="Arial" w:hAnsi="Arial" w:cs="Arial"/>
                <w:b/>
                <w:color w:val="000000"/>
                <w:sz w:val="18"/>
                <w:szCs w:val="24"/>
              </w:rPr>
              <w:t xml:space="preserve"> d’AXA IM</w:t>
            </w:r>
            <w:r w:rsidRPr="000F3478">
              <w:rPr>
                <w:rFonts w:ascii="Arial" w:hAnsi="Arial" w:cs="Arial"/>
                <w:b/>
                <w:color w:val="000000"/>
                <w:sz w:val="18"/>
                <w:szCs w:val="24"/>
              </w:rPr>
              <w:t>)</w:t>
            </w:r>
          </w:p>
        </w:tc>
        <w:tc>
          <w:tcPr>
            <w:tcW w:w="1191" w:type="dxa"/>
            <w:noWrap/>
            <w:vAlign w:val="center"/>
            <w:hideMark/>
          </w:tcPr>
          <w:p w14:paraId="32623958" w14:textId="77777777" w:rsidR="003C4BBB" w:rsidRPr="000F3478" w:rsidRDefault="003C4BBB" w:rsidP="000F3478">
            <w:pPr>
              <w:jc w:val="center"/>
              <w:rPr>
                <w:rFonts w:ascii="Arial" w:hAnsi="Arial" w:cs="Arial"/>
                <w:color w:val="000000"/>
                <w:sz w:val="18"/>
                <w:szCs w:val="24"/>
              </w:rPr>
            </w:pPr>
            <w:r w:rsidRPr="000F3478">
              <w:rPr>
                <w:rFonts w:ascii="Arial" w:hAnsi="Arial" w:cs="Arial"/>
                <w:color w:val="000000"/>
                <w:sz w:val="18"/>
                <w:szCs w:val="24"/>
              </w:rPr>
              <w:t>3,35</w:t>
            </w:r>
          </w:p>
        </w:tc>
        <w:tc>
          <w:tcPr>
            <w:tcW w:w="1341" w:type="dxa"/>
            <w:noWrap/>
            <w:vAlign w:val="center"/>
            <w:hideMark/>
          </w:tcPr>
          <w:p w14:paraId="7D3EB537" w14:textId="77777777" w:rsidR="003C4BBB" w:rsidRPr="000F3478" w:rsidRDefault="003C4BBB" w:rsidP="000F3478">
            <w:pPr>
              <w:jc w:val="center"/>
              <w:rPr>
                <w:rFonts w:ascii="Arial" w:hAnsi="Arial" w:cs="Arial"/>
                <w:color w:val="000000"/>
                <w:sz w:val="18"/>
                <w:szCs w:val="24"/>
              </w:rPr>
            </w:pPr>
            <w:r w:rsidRPr="000F3478">
              <w:rPr>
                <w:rFonts w:ascii="Arial" w:hAnsi="Arial" w:cs="Arial"/>
                <w:color w:val="000000"/>
                <w:sz w:val="18"/>
                <w:szCs w:val="24"/>
              </w:rPr>
              <w:t>-19,24</w:t>
            </w:r>
          </w:p>
        </w:tc>
        <w:tc>
          <w:tcPr>
            <w:tcW w:w="1489" w:type="dxa"/>
            <w:noWrap/>
            <w:vAlign w:val="center"/>
            <w:hideMark/>
          </w:tcPr>
          <w:p w14:paraId="69BAED6C" w14:textId="77777777" w:rsidR="003C4BBB" w:rsidRPr="000F3478" w:rsidRDefault="003C4BBB" w:rsidP="000F3478">
            <w:pPr>
              <w:jc w:val="center"/>
              <w:rPr>
                <w:rFonts w:ascii="Arial" w:hAnsi="Arial" w:cs="Arial"/>
                <w:b/>
                <w:bCs w:val="0"/>
                <w:color w:val="00ADC6"/>
                <w:sz w:val="18"/>
                <w:szCs w:val="24"/>
              </w:rPr>
            </w:pPr>
            <w:r w:rsidRPr="000F3478">
              <w:rPr>
                <w:rFonts w:ascii="Arial" w:hAnsi="Arial" w:cs="Arial"/>
                <w:b/>
                <w:color w:val="00ADC6"/>
                <w:sz w:val="18"/>
                <w:szCs w:val="24"/>
              </w:rPr>
              <w:t>0,31</w:t>
            </w:r>
          </w:p>
        </w:tc>
        <w:tc>
          <w:tcPr>
            <w:tcW w:w="1191" w:type="dxa"/>
            <w:noWrap/>
            <w:vAlign w:val="center"/>
            <w:hideMark/>
          </w:tcPr>
          <w:p w14:paraId="43333E8C" w14:textId="77777777" w:rsidR="003C4BBB" w:rsidRPr="000F3478" w:rsidRDefault="003C4BBB" w:rsidP="000F3478">
            <w:pPr>
              <w:jc w:val="center"/>
              <w:rPr>
                <w:rFonts w:ascii="Arial" w:hAnsi="Arial" w:cs="Arial"/>
                <w:b/>
                <w:bCs w:val="0"/>
                <w:color w:val="00ADC6"/>
                <w:sz w:val="18"/>
                <w:szCs w:val="24"/>
              </w:rPr>
            </w:pPr>
            <w:r w:rsidRPr="000F3478">
              <w:rPr>
                <w:rFonts w:ascii="Arial" w:hAnsi="Arial" w:cs="Arial"/>
                <w:b/>
                <w:color w:val="00ADC6"/>
                <w:sz w:val="18"/>
                <w:szCs w:val="24"/>
              </w:rPr>
              <w:t>0,33</w:t>
            </w:r>
          </w:p>
        </w:tc>
      </w:tr>
      <w:tr w:rsidR="003C4BBB" w:rsidRPr="000F3478" w14:paraId="12B3CE82" w14:textId="77777777" w:rsidTr="000F3478">
        <w:trPr>
          <w:trHeight w:val="309"/>
          <w:jc w:val="center"/>
        </w:trPr>
        <w:tc>
          <w:tcPr>
            <w:tcW w:w="5245" w:type="dxa"/>
            <w:noWrap/>
            <w:vAlign w:val="center"/>
            <w:hideMark/>
          </w:tcPr>
          <w:p w14:paraId="54D4833E" w14:textId="21C8578E" w:rsidR="003C4BBB" w:rsidRPr="000F3478" w:rsidRDefault="003C4BBB" w:rsidP="000F3478">
            <w:pPr>
              <w:rPr>
                <w:rFonts w:ascii="Arial" w:hAnsi="Arial" w:cs="Arial"/>
                <w:b/>
                <w:bCs w:val="0"/>
                <w:color w:val="000000"/>
                <w:sz w:val="18"/>
                <w:szCs w:val="24"/>
              </w:rPr>
            </w:pPr>
            <w:r w:rsidRPr="000F3478">
              <w:rPr>
                <w:rFonts w:ascii="Arial" w:hAnsi="Arial" w:cs="Arial"/>
                <w:b/>
                <w:color w:val="000000"/>
                <w:sz w:val="18"/>
                <w:szCs w:val="24"/>
              </w:rPr>
              <w:t>Indice MSCI ACWI (</w:t>
            </w:r>
            <w:r w:rsidR="006C04D1" w:rsidRPr="000F3478">
              <w:rPr>
                <w:rFonts w:ascii="Arial" w:hAnsi="Arial" w:cs="Arial"/>
                <w:b/>
                <w:color w:val="000000"/>
                <w:sz w:val="18"/>
                <w:szCs w:val="24"/>
              </w:rPr>
              <w:t>incl. les</w:t>
            </w:r>
            <w:r w:rsidRPr="000F3478">
              <w:rPr>
                <w:rFonts w:ascii="Arial" w:hAnsi="Arial" w:cs="Arial"/>
                <w:b/>
                <w:color w:val="000000"/>
                <w:sz w:val="18"/>
                <w:szCs w:val="24"/>
              </w:rPr>
              <w:t xml:space="preserve"> politiques d’exclusion d’AXA IM)</w:t>
            </w:r>
          </w:p>
        </w:tc>
        <w:tc>
          <w:tcPr>
            <w:tcW w:w="1191" w:type="dxa"/>
            <w:noWrap/>
            <w:vAlign w:val="center"/>
            <w:hideMark/>
          </w:tcPr>
          <w:p w14:paraId="77BBCB05" w14:textId="77777777" w:rsidR="003C4BBB" w:rsidRPr="000F3478" w:rsidRDefault="003C4BBB" w:rsidP="000F3478">
            <w:pPr>
              <w:jc w:val="center"/>
              <w:rPr>
                <w:rFonts w:ascii="Arial" w:hAnsi="Arial" w:cs="Arial"/>
                <w:b/>
                <w:bCs w:val="0"/>
                <w:color w:val="000000"/>
                <w:sz w:val="18"/>
                <w:szCs w:val="24"/>
              </w:rPr>
            </w:pPr>
            <w:r w:rsidRPr="000F3478">
              <w:rPr>
                <w:rFonts w:ascii="Arial" w:hAnsi="Arial" w:cs="Arial"/>
                <w:b/>
                <w:color w:val="000000"/>
                <w:sz w:val="18"/>
                <w:szCs w:val="24"/>
              </w:rPr>
              <w:t>5,36</w:t>
            </w:r>
          </w:p>
        </w:tc>
        <w:tc>
          <w:tcPr>
            <w:tcW w:w="1341" w:type="dxa"/>
            <w:noWrap/>
            <w:vAlign w:val="center"/>
            <w:hideMark/>
          </w:tcPr>
          <w:p w14:paraId="7A68756D" w14:textId="77777777" w:rsidR="003C4BBB" w:rsidRPr="000F3478" w:rsidRDefault="003C4BBB" w:rsidP="000F3478">
            <w:pPr>
              <w:jc w:val="center"/>
              <w:rPr>
                <w:rFonts w:ascii="Arial" w:hAnsi="Arial" w:cs="Arial"/>
                <w:b/>
                <w:bCs w:val="0"/>
                <w:color w:val="000000"/>
                <w:sz w:val="18"/>
                <w:szCs w:val="24"/>
              </w:rPr>
            </w:pPr>
            <w:r w:rsidRPr="000F3478">
              <w:rPr>
                <w:rFonts w:ascii="Arial" w:hAnsi="Arial" w:cs="Arial"/>
                <w:b/>
                <w:color w:val="000000"/>
                <w:sz w:val="18"/>
                <w:szCs w:val="24"/>
              </w:rPr>
              <w:t>-19,08</w:t>
            </w:r>
          </w:p>
        </w:tc>
        <w:tc>
          <w:tcPr>
            <w:tcW w:w="1489" w:type="dxa"/>
            <w:noWrap/>
            <w:vAlign w:val="center"/>
            <w:hideMark/>
          </w:tcPr>
          <w:p w14:paraId="146DC51F" w14:textId="77777777" w:rsidR="003C4BBB" w:rsidRPr="000F3478" w:rsidRDefault="003C4BBB" w:rsidP="000F3478">
            <w:pPr>
              <w:jc w:val="center"/>
              <w:rPr>
                <w:rFonts w:ascii="Arial" w:hAnsi="Arial" w:cs="Arial"/>
                <w:b/>
                <w:bCs w:val="0"/>
                <w:color w:val="00ADC6"/>
                <w:sz w:val="18"/>
                <w:szCs w:val="24"/>
              </w:rPr>
            </w:pPr>
            <w:r w:rsidRPr="000F3478">
              <w:rPr>
                <w:rFonts w:ascii="Arial" w:hAnsi="Arial" w:cs="Arial"/>
                <w:b/>
                <w:color w:val="00ADC6"/>
                <w:sz w:val="18"/>
                <w:szCs w:val="24"/>
              </w:rPr>
              <w:t>0,47</w:t>
            </w:r>
          </w:p>
        </w:tc>
        <w:tc>
          <w:tcPr>
            <w:tcW w:w="1191" w:type="dxa"/>
            <w:noWrap/>
            <w:vAlign w:val="center"/>
            <w:hideMark/>
          </w:tcPr>
          <w:p w14:paraId="522FE6BD" w14:textId="77777777" w:rsidR="003C4BBB" w:rsidRPr="000F3478" w:rsidRDefault="003C4BBB" w:rsidP="000F3478">
            <w:pPr>
              <w:jc w:val="center"/>
              <w:rPr>
                <w:rFonts w:ascii="Arial" w:hAnsi="Arial" w:cs="Arial"/>
                <w:b/>
                <w:bCs w:val="0"/>
                <w:color w:val="00ADC6"/>
                <w:sz w:val="18"/>
                <w:szCs w:val="24"/>
              </w:rPr>
            </w:pPr>
            <w:r w:rsidRPr="000F3478">
              <w:rPr>
                <w:rFonts w:ascii="Arial" w:hAnsi="Arial" w:cs="Arial"/>
                <w:b/>
                <w:color w:val="00ADC6"/>
                <w:sz w:val="18"/>
                <w:szCs w:val="24"/>
              </w:rPr>
              <w:t>0,51</w:t>
            </w:r>
          </w:p>
        </w:tc>
      </w:tr>
    </w:tbl>
    <w:p w14:paraId="17060FA5" w14:textId="77777777" w:rsidR="003C4BBB" w:rsidRPr="005E62CE" w:rsidRDefault="00E9424F" w:rsidP="003C4BBB">
      <w:pPr>
        <w:rPr>
          <w:rFonts w:ascii="Arial" w:hAnsi="Arial" w:cs="Arial"/>
        </w:rPr>
      </w:pPr>
      <w:r w:rsidRPr="005E62CE">
        <w:rPr>
          <w:rFonts w:ascii="Arial" w:hAnsi="Arial" w:cs="Arial"/>
        </w:rPr>
        <w:t xml:space="preserve">  </w:t>
      </w:r>
    </w:p>
    <w:p w14:paraId="5E92EC2E" w14:textId="11CDFE20" w:rsidR="002564A2" w:rsidRPr="00990552" w:rsidRDefault="00990552" w:rsidP="003C4BBB">
      <w:pPr>
        <w:rPr>
          <w:rFonts w:ascii="Arial" w:hAnsi="Arial" w:cs="Arial"/>
          <w:i/>
          <w:color w:val="808080" w:themeColor="background1" w:themeShade="80"/>
        </w:rPr>
      </w:pPr>
      <w:r w:rsidRPr="00990552">
        <w:rPr>
          <w:rFonts w:ascii="Arial" w:hAnsi="Arial" w:cs="Arial"/>
          <w:i/>
          <w:color w:val="808080" w:themeColor="background1" w:themeShade="80"/>
        </w:rPr>
        <w:t>Source : AXA IM au 31/03/2020</w:t>
      </w:r>
    </w:p>
    <w:p w14:paraId="457B863D" w14:textId="59D4832D" w:rsidR="002564A2" w:rsidRDefault="002564A2" w:rsidP="003C4BBB">
      <w:pPr>
        <w:rPr>
          <w:rFonts w:ascii="Arial" w:hAnsi="Arial" w:cs="Arial"/>
        </w:rPr>
      </w:pPr>
    </w:p>
    <w:p w14:paraId="48B9334F" w14:textId="03F22F00" w:rsidR="005117DE" w:rsidRDefault="005117DE" w:rsidP="003C4BBB">
      <w:pPr>
        <w:rPr>
          <w:rFonts w:ascii="Arial" w:hAnsi="Arial" w:cs="Arial"/>
        </w:rPr>
      </w:pPr>
    </w:p>
    <w:p w14:paraId="7D01C98B" w14:textId="1D6E82A4" w:rsidR="005117DE" w:rsidRDefault="00A063D8" w:rsidP="003C4BBB">
      <w:pPr>
        <w:rPr>
          <w:rFonts w:ascii="Arial" w:hAnsi="Arial" w:cs="Arial"/>
        </w:rPr>
      </w:pPr>
      <w:bookmarkStart w:id="0" w:name="_Hlk37958222"/>
      <w:r w:rsidRPr="00A063D8">
        <w:rPr>
          <w:rFonts w:ascii="Arial" w:hAnsi="Arial" w:cs="Arial"/>
        </w:rPr>
        <w:t xml:space="preserve">Nous sommes tout à fait conscients que les scores ESG </w:t>
      </w:r>
      <w:r w:rsidR="00565873">
        <w:rPr>
          <w:rFonts w:ascii="Arial" w:hAnsi="Arial" w:cs="Arial"/>
        </w:rPr>
        <w:t>n’expliquent pas tout dan</w:t>
      </w:r>
      <w:r w:rsidRPr="00A063D8">
        <w:rPr>
          <w:rFonts w:ascii="Arial" w:hAnsi="Arial" w:cs="Arial"/>
        </w:rPr>
        <w:t xml:space="preserve">s </w:t>
      </w:r>
      <w:r w:rsidR="00565873">
        <w:rPr>
          <w:rFonts w:ascii="Arial" w:hAnsi="Arial" w:cs="Arial"/>
        </w:rPr>
        <w:t xml:space="preserve">cette </w:t>
      </w:r>
      <w:r w:rsidRPr="00A063D8">
        <w:rPr>
          <w:rFonts w:ascii="Arial" w:hAnsi="Arial" w:cs="Arial"/>
        </w:rPr>
        <w:t xml:space="preserve">période </w:t>
      </w:r>
      <w:r w:rsidR="00565873">
        <w:rPr>
          <w:rFonts w:ascii="Arial" w:hAnsi="Arial" w:cs="Arial"/>
        </w:rPr>
        <w:t>critique p</w:t>
      </w:r>
      <w:r w:rsidRPr="00A063D8">
        <w:rPr>
          <w:rFonts w:ascii="Arial" w:hAnsi="Arial" w:cs="Arial"/>
        </w:rPr>
        <w:t>our l'économie mondiale. Toutefois, notre analyse initiale semble mont</w:t>
      </w:r>
      <w:r>
        <w:rPr>
          <w:rFonts w:ascii="Arial" w:hAnsi="Arial" w:cs="Arial"/>
        </w:rPr>
        <w:t xml:space="preserve">rer </w:t>
      </w:r>
      <w:r w:rsidR="001C52FC">
        <w:rPr>
          <w:rFonts w:ascii="Arial" w:hAnsi="Arial" w:cs="Arial"/>
        </w:rPr>
        <w:t xml:space="preserve">clairement </w:t>
      </w:r>
      <w:r w:rsidRPr="00A063D8">
        <w:rPr>
          <w:rFonts w:ascii="Arial" w:hAnsi="Arial" w:cs="Arial"/>
        </w:rPr>
        <w:t>que de bons scores ESG peuvent être un sign</w:t>
      </w:r>
      <w:r w:rsidR="0014020E">
        <w:rPr>
          <w:rFonts w:ascii="Arial" w:hAnsi="Arial" w:cs="Arial"/>
        </w:rPr>
        <w:t xml:space="preserve">e </w:t>
      </w:r>
      <w:r w:rsidRPr="00A063D8">
        <w:rPr>
          <w:rFonts w:ascii="Arial" w:hAnsi="Arial" w:cs="Arial"/>
        </w:rPr>
        <w:t>de qualité et de rési</w:t>
      </w:r>
      <w:r>
        <w:rPr>
          <w:rFonts w:ascii="Arial" w:hAnsi="Arial" w:cs="Arial"/>
        </w:rPr>
        <w:t xml:space="preserve">lience dans </w:t>
      </w:r>
      <w:r w:rsidRPr="00A063D8">
        <w:rPr>
          <w:rFonts w:ascii="Arial" w:hAnsi="Arial" w:cs="Arial"/>
        </w:rPr>
        <w:t xml:space="preserve">des marchés actions et obligataires </w:t>
      </w:r>
      <w:r>
        <w:rPr>
          <w:rFonts w:ascii="Arial" w:hAnsi="Arial" w:cs="Arial"/>
        </w:rPr>
        <w:t xml:space="preserve">agités. </w:t>
      </w:r>
      <w:r w:rsidRPr="00A063D8">
        <w:rPr>
          <w:rFonts w:ascii="Arial" w:hAnsi="Arial" w:cs="Arial"/>
        </w:rPr>
        <w:t xml:space="preserve">Cela suggère qu'un portefeuille </w:t>
      </w:r>
      <w:r>
        <w:rPr>
          <w:rFonts w:ascii="Arial" w:hAnsi="Arial" w:cs="Arial"/>
        </w:rPr>
        <w:t xml:space="preserve">qui </w:t>
      </w:r>
      <w:r w:rsidR="001B66F1">
        <w:rPr>
          <w:rFonts w:ascii="Arial" w:hAnsi="Arial" w:cs="Arial"/>
        </w:rPr>
        <w:t>intégrerait</w:t>
      </w:r>
      <w:r w:rsidR="001B66F1">
        <w:rPr>
          <w:rFonts w:ascii="Arial" w:hAnsi="Arial" w:cs="Arial"/>
        </w:rPr>
        <w:t xml:space="preserve"> </w:t>
      </w:r>
      <w:bookmarkStart w:id="1" w:name="_GoBack"/>
      <w:bookmarkEnd w:id="1"/>
      <w:r w:rsidRPr="00A063D8">
        <w:rPr>
          <w:rFonts w:ascii="Arial" w:hAnsi="Arial" w:cs="Arial"/>
        </w:rPr>
        <w:t xml:space="preserve">des scores ESG plus élevés offrirait un </w:t>
      </w:r>
      <w:r w:rsidR="0014020E">
        <w:rPr>
          <w:rFonts w:ascii="Arial" w:hAnsi="Arial" w:cs="Arial"/>
        </w:rPr>
        <w:t>biais</w:t>
      </w:r>
      <w:r w:rsidRPr="00A063D8">
        <w:rPr>
          <w:rFonts w:ascii="Arial" w:hAnsi="Arial" w:cs="Arial"/>
        </w:rPr>
        <w:t xml:space="preserve"> plus défensif en période de tensions sur les marchés. Une ana</w:t>
      </w:r>
      <w:r w:rsidR="007A319C">
        <w:rPr>
          <w:rFonts w:ascii="Arial" w:hAnsi="Arial" w:cs="Arial"/>
        </w:rPr>
        <w:t>l</w:t>
      </w:r>
      <w:r w:rsidRPr="00A063D8">
        <w:rPr>
          <w:rFonts w:ascii="Arial" w:hAnsi="Arial" w:cs="Arial"/>
        </w:rPr>
        <w:t>yse plus approfondie permettra de déterminer si le score ESG offre des résultats similaires</w:t>
      </w:r>
      <w:r w:rsidR="0014020E">
        <w:rPr>
          <w:rFonts w:ascii="Arial" w:hAnsi="Arial" w:cs="Arial"/>
        </w:rPr>
        <w:t xml:space="preserve"> dans une phase de reprise</w:t>
      </w:r>
      <w:r w:rsidRPr="00A063D8">
        <w:rPr>
          <w:rFonts w:ascii="Arial" w:hAnsi="Arial" w:cs="Arial"/>
        </w:rPr>
        <w:t>.</w:t>
      </w:r>
    </w:p>
    <w:bookmarkEnd w:id="0"/>
    <w:p w14:paraId="52504103" w14:textId="6BDADFA9" w:rsidR="00A063D8" w:rsidRDefault="00A063D8" w:rsidP="003C4BBB">
      <w:pPr>
        <w:rPr>
          <w:rFonts w:ascii="Arial" w:hAnsi="Arial" w:cs="Arial"/>
        </w:rPr>
      </w:pPr>
    </w:p>
    <w:p w14:paraId="46C352DA" w14:textId="77777777" w:rsidR="00A063D8" w:rsidRPr="005E62CE" w:rsidRDefault="00A063D8" w:rsidP="003C4BBB">
      <w:pPr>
        <w:rPr>
          <w:rFonts w:ascii="Arial" w:hAnsi="Arial" w:cs="Arial"/>
        </w:rPr>
      </w:pPr>
    </w:p>
    <w:p w14:paraId="2ED9B0B9" w14:textId="5D0B36CD" w:rsidR="00FB734E" w:rsidRPr="005E62CE" w:rsidRDefault="002564A2" w:rsidP="002564A2">
      <w:pPr>
        <w:spacing w:before="60" w:after="60"/>
        <w:rPr>
          <w:rFonts w:ascii="Arial" w:hAnsi="Arial" w:cs="Arial"/>
          <w:sz w:val="16"/>
        </w:rPr>
      </w:pPr>
      <w:r w:rsidRPr="005E62CE">
        <w:rPr>
          <w:rStyle w:val="Appelnotedebasdep"/>
          <w:rFonts w:ascii="Arial" w:hAnsi="Arial" w:cs="Arial"/>
          <w:sz w:val="16"/>
        </w:rPr>
        <w:t>5</w:t>
      </w:r>
      <w:r w:rsidRPr="005E62CE">
        <w:rPr>
          <w:rFonts w:ascii="Arial" w:hAnsi="Arial" w:cs="Arial"/>
          <w:sz w:val="16"/>
        </w:rPr>
        <w:t xml:space="preserve"> « Comment l’investissement responsable impacte-t-il la performance financière</w:t>
      </w:r>
      <w:r w:rsidR="00DD78CA" w:rsidRPr="005E62CE">
        <w:rPr>
          <w:rFonts w:ascii="Arial" w:hAnsi="Arial" w:cs="Arial"/>
          <w:sz w:val="16"/>
        </w:rPr>
        <w:t> </w:t>
      </w:r>
      <w:r w:rsidRPr="005E62CE">
        <w:rPr>
          <w:rFonts w:ascii="Arial" w:hAnsi="Arial" w:cs="Arial"/>
          <w:sz w:val="16"/>
        </w:rPr>
        <w:t xml:space="preserve">? » – mars 2020, AXA Investment Managers. </w:t>
      </w:r>
    </w:p>
    <w:p w14:paraId="705D6586" w14:textId="77777777" w:rsidR="002564A2" w:rsidRPr="005E62CE" w:rsidRDefault="002564A2" w:rsidP="002564A2">
      <w:pPr>
        <w:spacing w:before="60" w:after="60"/>
        <w:rPr>
          <w:rFonts w:ascii="Arial" w:hAnsi="Arial" w:cs="Arial"/>
        </w:rPr>
      </w:pPr>
    </w:p>
    <w:p w14:paraId="4A0CA7FC" w14:textId="77777777" w:rsidR="002564A2" w:rsidRPr="005E62CE" w:rsidRDefault="002564A2" w:rsidP="002564A2">
      <w:pPr>
        <w:spacing w:before="60" w:after="60"/>
        <w:rPr>
          <w:rFonts w:ascii="Arial" w:hAnsi="Arial" w:cs="Arial"/>
        </w:rPr>
      </w:pPr>
    </w:p>
    <w:p w14:paraId="6295545F" w14:textId="77777777" w:rsidR="00500EF3" w:rsidRPr="005E62CE" w:rsidRDefault="00500EF3" w:rsidP="00500EF3">
      <w:pPr>
        <w:rPr>
          <w:rFonts w:ascii="Arial" w:hAnsi="Arial" w:cs="Arial"/>
        </w:rPr>
        <w:sectPr w:rsidR="00500EF3" w:rsidRPr="005E62CE" w:rsidSect="0052214F">
          <w:footerReference w:type="default" r:id="rId19"/>
          <w:type w:val="continuous"/>
          <w:pgSz w:w="11906" w:h="16838"/>
          <w:pgMar w:top="2268" w:right="707" w:bottom="851" w:left="851" w:header="709" w:footer="438" w:gutter="0"/>
          <w:cols w:space="282"/>
          <w:docGrid w:linePitch="360"/>
        </w:sectPr>
      </w:pPr>
    </w:p>
    <w:p w14:paraId="1CE53D9C" w14:textId="74A73CAB" w:rsidR="00D37861" w:rsidRPr="005E62CE" w:rsidRDefault="00D37861" w:rsidP="00D37861">
      <w:pPr>
        <w:spacing w:after="40"/>
        <w:rPr>
          <w:rFonts w:ascii="Arial" w:hAnsi="Arial" w:cs="Arial"/>
          <w:iCs/>
          <w:color w:val="808080" w:themeColor="background1" w:themeShade="80"/>
        </w:rPr>
      </w:pPr>
    </w:p>
    <w:p w14:paraId="4ECF503A" w14:textId="02458E53" w:rsidR="00D37861" w:rsidRPr="005E62CE" w:rsidRDefault="00D37861" w:rsidP="00D37861">
      <w:pPr>
        <w:spacing w:after="40"/>
        <w:rPr>
          <w:rFonts w:ascii="Arial" w:hAnsi="Arial" w:cs="Arial"/>
          <w:iCs/>
          <w:color w:val="808080" w:themeColor="background1" w:themeShade="80"/>
        </w:rPr>
      </w:pPr>
    </w:p>
    <w:p w14:paraId="6C4C4564" w14:textId="77777777" w:rsidR="005117DE" w:rsidRPr="005E62CE" w:rsidRDefault="005117DE" w:rsidP="00D37861">
      <w:pPr>
        <w:spacing w:after="40"/>
        <w:rPr>
          <w:rFonts w:ascii="Arial" w:hAnsi="Arial" w:cs="Arial"/>
          <w:iCs/>
          <w:color w:val="000000"/>
        </w:rPr>
      </w:pPr>
    </w:p>
    <w:p w14:paraId="24065918" w14:textId="2294A983" w:rsidR="00D37861" w:rsidRPr="005E62CE" w:rsidRDefault="00D37861" w:rsidP="00D37861">
      <w:pPr>
        <w:spacing w:after="40"/>
        <w:rPr>
          <w:rFonts w:ascii="Arial" w:hAnsi="Arial" w:cs="Arial"/>
          <w:iCs/>
          <w:color w:val="000000"/>
        </w:rPr>
      </w:pPr>
    </w:p>
    <w:p w14:paraId="3C37DE7B" w14:textId="465EF0FF" w:rsidR="00D37861" w:rsidRPr="005E62CE" w:rsidRDefault="00D37861" w:rsidP="00D37861">
      <w:pPr>
        <w:spacing w:after="40"/>
        <w:rPr>
          <w:rFonts w:ascii="Arial" w:hAnsi="Arial" w:cs="Arial"/>
          <w:iCs/>
          <w:color w:val="000000"/>
        </w:rPr>
      </w:pPr>
    </w:p>
    <w:p w14:paraId="4C79CCDC" w14:textId="77777777" w:rsidR="00D37861" w:rsidRPr="005E62CE" w:rsidRDefault="00D37861" w:rsidP="00D37861">
      <w:pPr>
        <w:spacing w:after="40"/>
        <w:rPr>
          <w:rFonts w:ascii="Arial" w:hAnsi="Arial" w:cs="Arial"/>
          <w:color w:val="808080" w:themeColor="background1" w:themeShade="80"/>
        </w:rPr>
      </w:pPr>
      <w:r w:rsidRPr="005E62CE">
        <w:rPr>
          <w:rFonts w:ascii="Arial" w:hAnsi="Arial" w:cs="Arial"/>
          <w:color w:val="808080" w:themeColor="background1" w:themeShade="80"/>
        </w:rPr>
        <w:t>Les analyses et les opinions mentionnées représentent le point de vue de l’auteur et ne constituent pas un conseil en investissement.</w:t>
      </w:r>
    </w:p>
    <w:p w14:paraId="77B4FC25" w14:textId="77777777" w:rsidR="00D37861" w:rsidRPr="005E62CE" w:rsidRDefault="00D37861" w:rsidP="00D37861">
      <w:pPr>
        <w:spacing w:after="40"/>
        <w:rPr>
          <w:rFonts w:ascii="Arial" w:hAnsi="Arial" w:cs="Arial"/>
          <w:iCs/>
          <w:color w:val="808080" w:themeColor="background1" w:themeShade="80"/>
        </w:rPr>
      </w:pPr>
    </w:p>
    <w:p w14:paraId="753A0AAE" w14:textId="77777777" w:rsidR="00D37861" w:rsidRPr="005E62CE" w:rsidRDefault="00D37861" w:rsidP="00D37861">
      <w:pPr>
        <w:spacing w:after="40"/>
        <w:rPr>
          <w:rFonts w:ascii="Arial" w:hAnsi="Arial" w:cs="Arial"/>
          <w:iCs/>
          <w:color w:val="808080" w:themeColor="background1" w:themeShade="80"/>
        </w:rPr>
      </w:pPr>
      <w:r w:rsidRPr="005E62CE">
        <w:rPr>
          <w:rFonts w:ascii="Arial" w:hAnsi="Arial" w:cs="Arial"/>
          <w:iCs/>
          <w:color w:val="808080" w:themeColor="background1" w:themeShade="80"/>
        </w:rPr>
        <w:t xml:space="preserve">Ni MSCI ni aucun autre tiers impliqué dans ou associé à la composition, au calcul ou à la création des données MSCI ne font aucune déclaration ni n’offrent aucune garantie expresse ou implicite quant à ces données (ou aux conséquences de leur utilisation), et l’ensemble desdits tiers décline expressément par les présentes toute responsabilité concernant l'originalité, l’exactitude, l'exhaustivité, la conformité de tout ou partie de ces données. Sans limitation de ce qui précède, MSCI, ses filiales ou tout autre tiers impliqué dans ou associé à la composition, au calcul ou à la création des données ne sauraient en aucun cas être tenus pour responsables d'aucuns dommages directs, indirects, spéciaux, punitifs, consécutifs ou autres (y compris les pertes encourues) même si l'éventualité de ces dommages leur a été signifiée. Toute reproduction ou distribution des données MSCI est interdite, sauf consentement exprès et écrit de MSCI. </w:t>
      </w:r>
    </w:p>
    <w:p w14:paraId="43503815" w14:textId="4EB89D23" w:rsidR="00D37861" w:rsidRPr="005E62CE" w:rsidRDefault="00D37861" w:rsidP="00D37861">
      <w:pPr>
        <w:spacing w:after="40"/>
        <w:rPr>
          <w:rFonts w:ascii="Arial" w:hAnsi="Arial" w:cs="Arial"/>
          <w:iCs/>
          <w:color w:val="000000"/>
        </w:rPr>
      </w:pPr>
    </w:p>
    <w:p w14:paraId="1B711F29" w14:textId="489DE2B1" w:rsidR="00D37861" w:rsidRDefault="00D37861" w:rsidP="00D37861">
      <w:pPr>
        <w:spacing w:after="40"/>
        <w:rPr>
          <w:rFonts w:ascii="Arial" w:hAnsi="Arial" w:cs="Arial"/>
          <w:iCs/>
          <w:color w:val="000000"/>
        </w:rPr>
      </w:pPr>
    </w:p>
    <w:p w14:paraId="6C0E6A41" w14:textId="000F242C" w:rsidR="005117DE" w:rsidRDefault="005117DE" w:rsidP="00D37861">
      <w:pPr>
        <w:spacing w:after="40"/>
        <w:rPr>
          <w:rFonts w:ascii="Arial" w:hAnsi="Arial" w:cs="Arial"/>
          <w:iCs/>
          <w:color w:val="000000"/>
        </w:rPr>
      </w:pPr>
    </w:p>
    <w:p w14:paraId="5FEB5678" w14:textId="6261130F" w:rsidR="005117DE" w:rsidRDefault="005117DE" w:rsidP="00D37861">
      <w:pPr>
        <w:spacing w:after="40"/>
        <w:rPr>
          <w:rFonts w:ascii="Arial" w:hAnsi="Arial" w:cs="Arial"/>
          <w:iCs/>
          <w:color w:val="000000"/>
        </w:rPr>
      </w:pPr>
    </w:p>
    <w:p w14:paraId="41250948" w14:textId="44E1D909" w:rsidR="005117DE" w:rsidRDefault="005117DE" w:rsidP="00D37861">
      <w:pPr>
        <w:spacing w:after="40"/>
        <w:rPr>
          <w:rFonts w:ascii="Arial" w:hAnsi="Arial" w:cs="Arial"/>
          <w:iCs/>
          <w:color w:val="000000"/>
        </w:rPr>
      </w:pPr>
    </w:p>
    <w:p w14:paraId="27500BDB" w14:textId="77777777" w:rsidR="005117DE" w:rsidRPr="005E62CE" w:rsidRDefault="005117DE" w:rsidP="00D37861">
      <w:pPr>
        <w:spacing w:after="40"/>
        <w:rPr>
          <w:rFonts w:ascii="Arial" w:hAnsi="Arial" w:cs="Arial"/>
          <w:iCs/>
          <w:color w:val="000000"/>
        </w:rPr>
      </w:pPr>
    </w:p>
    <w:p w14:paraId="33E40B75" w14:textId="4E984C36" w:rsidR="005E62CE" w:rsidRPr="005E62CE" w:rsidRDefault="005E62CE" w:rsidP="00D37861">
      <w:pPr>
        <w:spacing w:after="40"/>
        <w:rPr>
          <w:rFonts w:ascii="Arial" w:hAnsi="Arial" w:cs="Arial"/>
          <w:iCs/>
          <w:color w:val="000000"/>
        </w:rPr>
      </w:pPr>
    </w:p>
    <w:p w14:paraId="43B0A31C" w14:textId="6A6E4DCC" w:rsidR="005E62CE" w:rsidRPr="005E62CE" w:rsidRDefault="005E62CE" w:rsidP="00D37861">
      <w:pPr>
        <w:spacing w:after="40"/>
        <w:rPr>
          <w:rFonts w:ascii="Arial" w:hAnsi="Arial" w:cs="Arial"/>
          <w:iCs/>
          <w:color w:val="000000"/>
        </w:rPr>
      </w:pPr>
    </w:p>
    <w:p w14:paraId="24AB8924" w14:textId="77777777" w:rsidR="005E62CE" w:rsidRPr="005E62CE" w:rsidRDefault="005E62CE" w:rsidP="00D37861">
      <w:pPr>
        <w:spacing w:after="40"/>
        <w:rPr>
          <w:rFonts w:ascii="Arial" w:hAnsi="Arial" w:cs="Arial"/>
        </w:rPr>
      </w:pPr>
    </w:p>
    <w:p w14:paraId="7396A876" w14:textId="77777777" w:rsidR="00D37861" w:rsidRPr="000F3478" w:rsidRDefault="00D37861" w:rsidP="00D37861">
      <w:pPr>
        <w:spacing w:after="40"/>
        <w:rPr>
          <w:rFonts w:ascii="Arial" w:hAnsi="Arial" w:cs="Arial"/>
          <w:b/>
        </w:rPr>
      </w:pPr>
      <w:r w:rsidRPr="000F3478">
        <w:rPr>
          <w:rFonts w:ascii="Arial" w:hAnsi="Arial" w:cs="Arial"/>
          <w:b/>
        </w:rPr>
        <w:t>Avertissement</w:t>
      </w:r>
    </w:p>
    <w:p w14:paraId="75C9BC89" w14:textId="77777777" w:rsidR="00D37861" w:rsidRPr="005E62CE" w:rsidRDefault="00D37861" w:rsidP="00D37861">
      <w:pPr>
        <w:pStyle w:val="NormalWeb"/>
        <w:shd w:val="clear" w:color="auto" w:fill="FFFFFF"/>
        <w:spacing w:before="0" w:beforeAutospacing="0" w:after="40" w:afterAutospacing="0"/>
        <w:textAlignment w:val="baseline"/>
        <w:rPr>
          <w:rFonts w:ascii="Arial" w:eastAsia="Calibri" w:hAnsi="Arial" w:cs="Arial"/>
          <w:bCs/>
          <w:sz w:val="20"/>
          <w:szCs w:val="20"/>
          <w:lang w:eastAsia="en-US"/>
        </w:rPr>
      </w:pPr>
    </w:p>
    <w:p w14:paraId="5752D5C5" w14:textId="77777777" w:rsidR="00D37861" w:rsidRPr="005E62CE" w:rsidRDefault="00D37861" w:rsidP="00D37861">
      <w:pPr>
        <w:pStyle w:val="NormalWeb"/>
        <w:shd w:val="clear" w:color="auto" w:fill="FFFFFF"/>
        <w:spacing w:before="0" w:beforeAutospacing="0" w:after="40" w:afterAutospacing="0"/>
        <w:textAlignment w:val="baseline"/>
        <w:rPr>
          <w:rFonts w:ascii="Arial" w:eastAsia="Calibri" w:hAnsi="Arial" w:cs="Arial"/>
          <w:bCs/>
          <w:sz w:val="20"/>
          <w:szCs w:val="20"/>
          <w:lang w:eastAsia="en-US"/>
        </w:rPr>
      </w:pPr>
      <w:r w:rsidRPr="005E62CE">
        <w:rPr>
          <w:rFonts w:ascii="Arial" w:eastAsia="Calibri" w:hAnsi="Arial" w:cs="Arial"/>
          <w:bCs/>
          <w:sz w:val="20"/>
          <w:szCs w:val="20"/>
          <w:lang w:eastAsia="en-US"/>
        </w:rPr>
        <w:t xml:space="preserve">Ce document est exclusivement conçu à des fins d’information et ne constitue ni une recherche en investissement ni une analyse financière concernant les transactions sur instruments financiers conformément à la Directive MIF 2 (2014/65/CE) ni ne constitue, de la part d’AXA Investment Managers ou de ses affiliés, une offre d’acheter ou vendre des investissements, produits ou services et ne doit pas être considéré comme une sollicitation, un conseil en investissement ou un conseil juridique ou fiscal, une recommandation de stratégie d’investissement ou une recommandation personnalisée d’acheter ou de vendre des titres financiers. Ce document a été établi sur la base d'informations, projections, estimations, anticipations et hypothèses qui comportent une part de jugement subjectif. Ses analyses et ses conclusions sont l’expression d’une opinion indépendante, formée à partir des informations disponibles à une date donnée. Toutes les données de ce document ont été établies sur la base d’informations rendues publiques par les fournisseurs officiels de statistiques économiques et de marché. AXA Investment Managers décline toute responsabilité quant à la prise d’une décision sur la base ou sur la foi de ce document. L’ensemble des graphiques du présent document, sauf mention contraire, a été établi à la date de publication de ce document. Du fait de sa simplification, ce document peut être partiel et les informations qu’il présente peuvent être subjectives. Par ailleurs, </w:t>
      </w:r>
      <w:proofErr w:type="gramStart"/>
      <w:r w:rsidRPr="005E62CE">
        <w:rPr>
          <w:rFonts w:ascii="Arial" w:eastAsia="Calibri" w:hAnsi="Arial" w:cs="Arial"/>
          <w:bCs/>
          <w:sz w:val="20"/>
          <w:szCs w:val="20"/>
          <w:lang w:eastAsia="en-US"/>
        </w:rPr>
        <w:t>de par</w:t>
      </w:r>
      <w:proofErr w:type="gramEnd"/>
      <w:r w:rsidRPr="005E62CE">
        <w:rPr>
          <w:rFonts w:ascii="Arial" w:eastAsia="Calibri" w:hAnsi="Arial" w:cs="Arial"/>
          <w:bCs/>
          <w:sz w:val="20"/>
          <w:szCs w:val="20"/>
          <w:lang w:eastAsia="en-US"/>
        </w:rPr>
        <w:t xml:space="preserve"> la nature subjective des opinions et analyses présentées, ces données, projections, scénarii, perspectives, hypothèses et/ou opinions ne seront pas nécessairement utilisés ou suivis par les équipes de gestion de portefeuille d’AXA Investment Managers ou de ses affiliés qui pourront agir selon leurs propres opinions. Toute reproduction et diffusion, même partielles, de ce document sont strictement interdites, sauf autorisation préalable expresse d’AXA Investment Managers. L’information concernant le personnel d’AXA Investment Managers est uniquement informative. Nous n’apportons aucune garantie sur le fait que ce personnel restera employé par AXA Investment Managers et exercera ou continuera à exercer des fonctions au sein d’AXA Investment Managers.</w:t>
      </w:r>
    </w:p>
    <w:p w14:paraId="1FDFC61A" w14:textId="77777777" w:rsidR="00D37861" w:rsidRPr="005E62CE" w:rsidRDefault="00D37861" w:rsidP="00D37861">
      <w:pPr>
        <w:pStyle w:val="NormalWeb"/>
        <w:shd w:val="clear" w:color="auto" w:fill="FFFFFF"/>
        <w:spacing w:before="0" w:beforeAutospacing="0" w:after="40" w:afterAutospacing="0"/>
        <w:textAlignment w:val="baseline"/>
        <w:rPr>
          <w:rFonts w:ascii="Arial" w:eastAsia="Calibri" w:hAnsi="Arial" w:cs="Arial"/>
          <w:bCs/>
          <w:sz w:val="20"/>
          <w:szCs w:val="20"/>
          <w:lang w:eastAsia="en-US"/>
        </w:rPr>
      </w:pPr>
    </w:p>
    <w:p w14:paraId="66BF9D9F" w14:textId="77777777" w:rsidR="00D37861" w:rsidRPr="005E62CE" w:rsidRDefault="00D37861" w:rsidP="00D37861">
      <w:pPr>
        <w:pStyle w:val="NormalWeb"/>
        <w:shd w:val="clear" w:color="auto" w:fill="FFFFFF"/>
        <w:spacing w:before="0" w:beforeAutospacing="0" w:after="40" w:afterAutospacing="0"/>
        <w:textAlignment w:val="baseline"/>
        <w:rPr>
          <w:rFonts w:ascii="Arial" w:eastAsia="Calibri" w:hAnsi="Arial" w:cs="Arial"/>
          <w:bCs/>
          <w:sz w:val="20"/>
          <w:szCs w:val="20"/>
          <w:lang w:eastAsia="en-US"/>
        </w:rPr>
      </w:pPr>
      <w:r w:rsidRPr="005E62CE">
        <w:rPr>
          <w:rFonts w:ascii="Arial" w:eastAsia="Calibri" w:hAnsi="Arial" w:cs="Arial"/>
          <w:bCs/>
          <w:sz w:val="20"/>
          <w:szCs w:val="20"/>
          <w:lang w:eastAsia="en-US"/>
        </w:rPr>
        <w:t>AXA Investment Managers Paris – Tour Majunga – La Défense 9 – 6, place de la Pyramide – 92800 Puteaux. Société de gestion de portefeuille titulaire de l’agrément AMF N° GP 92-008 en date du 7 avril 1992 S.A au capital de 1 384 380 euros immatriculée au registre du commerce et des sociétés de Nanterre sous le numéro 353 534 506.</w:t>
      </w:r>
    </w:p>
    <w:p w14:paraId="600ED638" w14:textId="77777777" w:rsidR="00D37861" w:rsidRPr="005E62CE" w:rsidRDefault="00D37861" w:rsidP="00D37861">
      <w:pPr>
        <w:pStyle w:val="NormalWeb"/>
        <w:shd w:val="clear" w:color="auto" w:fill="FFFFFF"/>
        <w:spacing w:before="0" w:beforeAutospacing="0" w:after="40" w:afterAutospacing="0"/>
        <w:textAlignment w:val="baseline"/>
        <w:rPr>
          <w:rFonts w:ascii="Arial" w:hAnsi="Arial" w:cs="Arial"/>
          <w:spacing w:val="4"/>
          <w:sz w:val="20"/>
          <w:szCs w:val="20"/>
        </w:rPr>
      </w:pPr>
    </w:p>
    <w:p w14:paraId="15D2BAF3" w14:textId="6BD97438" w:rsidR="007B440B" w:rsidRPr="005E62CE" w:rsidRDefault="007B440B" w:rsidP="00B62251">
      <w:pPr>
        <w:rPr>
          <w:rFonts w:ascii="Arial" w:hAnsi="Arial" w:cs="Arial"/>
        </w:rPr>
      </w:pPr>
    </w:p>
    <w:sectPr w:rsidR="007B440B" w:rsidRPr="005E62CE" w:rsidSect="000F3478">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8" w:right="849" w:bottom="851" w:left="851" w:header="426"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B992" w14:textId="77777777" w:rsidR="007D1C99" w:rsidRDefault="007D1C99" w:rsidP="00B62251">
      <w:r>
        <w:separator/>
      </w:r>
    </w:p>
  </w:endnote>
  <w:endnote w:type="continuationSeparator" w:id="0">
    <w:p w14:paraId="7727732B" w14:textId="77777777" w:rsidR="007D1C99" w:rsidRDefault="007D1C99" w:rsidP="00B6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Bold">
    <w:altName w:val="Calibri"/>
    <w:charset w:val="00"/>
    <w:family w:val="auto"/>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9FDB" w14:textId="77777777" w:rsidR="007A319C" w:rsidRDefault="007A31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FAA3" w14:textId="77777777" w:rsidR="007D1C99" w:rsidRPr="00576B5C" w:rsidRDefault="007D1C99" w:rsidP="00576B5C">
    <w:pPr>
      <w:pStyle w:val="Pieddepage"/>
      <w:tabs>
        <w:tab w:val="clear" w:pos="9026"/>
        <w:tab w:val="right" w:pos="10206"/>
      </w:tabs>
      <w:rPr>
        <w:noProof/>
        <w:sz w:val="16"/>
        <w:szCs w:val="16"/>
      </w:rPr>
    </w:pPr>
    <w:r>
      <w:rPr>
        <w:bCs w:val="0"/>
        <w:i/>
        <w:noProof/>
        <w:sz w:val="16"/>
        <w:szCs w:val="16"/>
        <w:lang w:eastAsia="fr-FR"/>
      </w:rPr>
      <mc:AlternateContent>
        <mc:Choice Requires="wps">
          <w:drawing>
            <wp:anchor distT="0" distB="0" distL="114300" distR="114300" simplePos="1" relativeHeight="251662848" behindDoc="0" locked="0" layoutInCell="0" allowOverlap="1" wp14:anchorId="3B85D73E" wp14:editId="189F2A16">
              <wp:simplePos x="0" y="10228183"/>
              <wp:positionH relativeFrom="page">
                <wp:posOffset>0</wp:posOffset>
              </wp:positionH>
              <wp:positionV relativeFrom="page">
                <wp:posOffset>10227945</wp:posOffset>
              </wp:positionV>
              <wp:extent cx="7560310" cy="273050"/>
              <wp:effectExtent l="0" t="0" r="0" b="12700"/>
              <wp:wrapNone/>
              <wp:docPr id="1" name="MSIPCMdfdc458f991f89bb78924d39" descr="{&quot;HashCode&quot;:-204992002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ED9310" w14:textId="7C34E603" w:rsidR="007D1C99" w:rsidRPr="004F4A78" w:rsidRDefault="007D1C99" w:rsidP="004F4A78">
                          <w:pPr>
                            <w:jc w:val="center"/>
                            <w:rPr>
                              <w:rFonts w:ascii="Calibri" w:hAnsi="Calibri" w:cs="Calibri"/>
                              <w:color w:val="000000"/>
                            </w:rPr>
                          </w:pPr>
                          <w:r>
                            <w:rPr>
                              <w:rFonts w:ascii="Calibri" w:hAnsi="Calibri" w:cs="Calibri"/>
                              <w:color w:val="000000"/>
                            </w:rPr>
                            <w:t>AXA IM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85D73E" id="_x0000_t202" coordsize="21600,21600" o:spt="202" path="m,l,21600r21600,l21600,xe">
              <v:stroke joinstyle="miter"/>
              <v:path gradientshapeok="t" o:connecttype="rect"/>
            </v:shapetype>
            <v:shape id="MSIPCMdfdc458f991f89bb78924d39" o:spid="_x0000_s1027" type="#_x0000_t202" alt="{&quot;HashCode&quot;:-2049920027,&quot;Height&quot;:841.0,&quot;Width&quot;:595.0,&quot;Placement&quot;:&quot;Footer&quot;,&quot;Index&quot;:&quot;Primary&quot;,&quot;Section&quot;:1,&quot;Top&quot;:0.0,&quot;Left&quot;:0.0}" style="position:absolute;margin-left:0;margin-top:805.35pt;width:595.3pt;height:21.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AtOQgPGgMAADcGAAAOAAAAAAAAAAAA&#10;AAAAAC4CAABkcnMvZTJvRG9jLnhtbFBLAQItABQABgAIAAAAIQCf1UHs3wAAAAsBAAAPAAAAAAAA&#10;AAAAAAAAAHQFAABkcnMvZG93bnJldi54bWxQSwUGAAAAAAQABADzAAAAgAYAAAAA&#10;" o:allowincell="f" filled="f" stroked="f" strokeweight=".5pt">
              <v:textbox inset=",0,,0">
                <w:txbxContent>
                  <w:p w14:paraId="7DED9310" w14:textId="7C34E603" w:rsidR="007D1C99" w:rsidRPr="004F4A78" w:rsidRDefault="007D1C99" w:rsidP="004F4A78">
                    <w:pPr>
                      <w:jc w:val="center"/>
                      <w:rPr>
                        <w:rFonts w:ascii="Calibri" w:hAnsi="Calibri" w:cs="Calibri"/>
                        <w:color w:val="000000"/>
                      </w:rPr>
                    </w:pPr>
                    <w:r>
                      <w:rPr>
                        <w:rFonts w:ascii="Calibri" w:hAnsi="Calibri" w:cs="Calibri"/>
                        <w:color w:val="000000"/>
                      </w:rPr>
                      <w:t>AXA IM - INTERNAL</w:t>
                    </w:r>
                  </w:p>
                </w:txbxContent>
              </v:textbox>
              <w10:wrap anchorx="page" anchory="page"/>
            </v:shape>
          </w:pict>
        </mc:Fallback>
      </mc:AlternateContent>
    </w:r>
    <w:r>
      <w:rPr>
        <w:rStyle w:val="SourceChar"/>
      </w:rPr>
      <w:t>Source : […]</w:t>
    </w:r>
    <w:r>
      <w:rPr>
        <w:rStyle w:val="SourceChar"/>
      </w:rPr>
      <w:br/>
      <w:t>[Détails sur la conformité de la première page – première ligne</w:t>
    </w:r>
    <w:r>
      <w:rPr>
        <w:rStyle w:val="SourceChar"/>
      </w:rPr>
      <w:br/>
      <w:t>Deuxième ligne]</w:t>
    </w:r>
    <w:r>
      <w:rPr>
        <w:rStyle w:val="SourceChar"/>
      </w:rPr>
      <w:tab/>
    </w:r>
    <w:r>
      <w:rPr>
        <w:rStyle w:val="SourceChar"/>
      </w:rPr>
      <w:tab/>
    </w:r>
    <w:r w:rsidRPr="00F83BBE">
      <w:rPr>
        <w:sz w:val="16"/>
        <w:szCs w:val="16"/>
      </w:rPr>
      <w:fldChar w:fldCharType="begin"/>
    </w:r>
    <w:r w:rsidRPr="00F83BBE">
      <w:rPr>
        <w:sz w:val="16"/>
        <w:szCs w:val="16"/>
      </w:rPr>
      <w:instrText xml:space="preserve"> PAGE   \* MERGEFORMAT </w:instrText>
    </w:r>
    <w:r w:rsidRPr="00F83BBE">
      <w:rPr>
        <w:sz w:val="16"/>
        <w:szCs w:val="16"/>
      </w:rPr>
      <w:fldChar w:fldCharType="separate"/>
    </w:r>
    <w:r>
      <w:rPr>
        <w:sz w:val="16"/>
        <w:szCs w:val="16"/>
      </w:rPr>
      <w:t>1</w:t>
    </w:r>
    <w:r w:rsidRPr="00F83BB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C6C1" w14:textId="29813461" w:rsidR="0082557B" w:rsidRDefault="0082557B">
    <w:pPr>
      <w:pStyle w:val="Pieddepage"/>
    </w:pPr>
    <w:r>
      <w:rPr>
        <w:noProof/>
      </w:rPr>
      <mc:AlternateContent>
        <mc:Choice Requires="wps">
          <w:drawing>
            <wp:anchor distT="0" distB="0" distL="114300" distR="114300" simplePos="0" relativeHeight="251680256" behindDoc="0" locked="0" layoutInCell="0" allowOverlap="1" wp14:anchorId="5CC33DDC" wp14:editId="1794BE3A">
              <wp:simplePos x="0" y="0"/>
              <wp:positionH relativeFrom="page">
                <wp:posOffset>0</wp:posOffset>
              </wp:positionH>
              <wp:positionV relativeFrom="page">
                <wp:posOffset>10227945</wp:posOffset>
              </wp:positionV>
              <wp:extent cx="7560310" cy="273050"/>
              <wp:effectExtent l="0" t="0" r="0" b="12700"/>
              <wp:wrapNone/>
              <wp:docPr id="18" name="MSIPCM03af4c4c80038ddbabb345af" descr="{&quot;HashCode&quot;:-204992002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B83F06" w14:textId="01ECAAF8" w:rsidR="0082557B" w:rsidRPr="0082557B" w:rsidRDefault="0082557B" w:rsidP="0082557B">
                          <w:pPr>
                            <w:jc w:val="center"/>
                            <w:rPr>
                              <w:rFonts w:ascii="Calibri" w:hAnsi="Calibri" w:cs="Calibri"/>
                              <w:color w:val="000000"/>
                            </w:rPr>
                          </w:pPr>
                          <w:r w:rsidRPr="0082557B">
                            <w:rPr>
                              <w:rFonts w:ascii="Calibri" w:hAnsi="Calibri" w:cs="Calibri"/>
                              <w:color w:val="000000"/>
                            </w:rPr>
                            <w:t>AXA IM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C33DDC" id="_x0000_t202" coordsize="21600,21600" o:spt="202" path="m,l,21600r21600,l21600,xe">
              <v:stroke joinstyle="miter"/>
              <v:path gradientshapeok="t" o:connecttype="rect"/>
            </v:shapetype>
            <v:shape id="MSIPCM03af4c4c80038ddbabb345af" o:spid="_x0000_s1028" type="#_x0000_t202" alt="{&quot;HashCode&quot;:-2049920027,&quot;Height&quot;:841.0,&quot;Width&quot;:595.0,&quot;Placement&quot;:&quot;Footer&quot;,&quot;Index&quot;:&quot;FirstPage&quot;,&quot;Section&quot;:1,&quot;Top&quot;:0.0,&quot;Left&quot;:0.0}" style="position:absolute;margin-left:0;margin-top:805.35pt;width:595.3pt;height:21.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Hpa82UZAwAAQQYAAA4AAAAAAAAAAAAA&#10;AAAALgIAAGRycy9lMm9Eb2MueG1sUEsBAi0AFAAGAAgAAAAhAJ/VQezfAAAACwEAAA8AAAAAAAAA&#10;AAAAAAAAcwUAAGRycy9kb3ducmV2LnhtbFBLBQYAAAAABAAEAPMAAAB/BgAAAAA=&#10;" o:allowincell="f" filled="f" stroked="f" strokeweight=".5pt">
              <v:textbox inset=",0,,0">
                <w:txbxContent>
                  <w:p w14:paraId="46B83F06" w14:textId="01ECAAF8" w:rsidR="0082557B" w:rsidRPr="0082557B" w:rsidRDefault="0082557B" w:rsidP="0082557B">
                    <w:pPr>
                      <w:jc w:val="center"/>
                      <w:rPr>
                        <w:rFonts w:ascii="Calibri" w:hAnsi="Calibri" w:cs="Calibri"/>
                        <w:color w:val="000000"/>
                      </w:rPr>
                    </w:pPr>
                    <w:r w:rsidRPr="0082557B">
                      <w:rPr>
                        <w:rFonts w:ascii="Calibri" w:hAnsi="Calibri" w:cs="Calibri"/>
                        <w:color w:val="000000"/>
                      </w:rPr>
                      <w:t>AXA IM - INTERNAL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7467" w14:textId="2B80CE5A" w:rsidR="007D1C99" w:rsidRPr="0089417A" w:rsidRDefault="00904B4F" w:rsidP="0089417A">
    <w:pPr>
      <w:pStyle w:val="Pieddepage"/>
    </w:pPr>
    <w:r>
      <w:rPr>
        <w:noProof/>
        <w:lang w:eastAsia="fr-FR"/>
      </w:rPr>
      <mc:AlternateContent>
        <mc:Choice Requires="wps">
          <w:drawing>
            <wp:anchor distT="0" distB="0" distL="114300" distR="114300" simplePos="0" relativeHeight="251677184" behindDoc="0" locked="0" layoutInCell="0" allowOverlap="1" wp14:anchorId="07791430" wp14:editId="6ABF8F5C">
              <wp:simplePos x="0" y="0"/>
              <wp:positionH relativeFrom="page">
                <wp:posOffset>0</wp:posOffset>
              </wp:positionH>
              <wp:positionV relativeFrom="page">
                <wp:posOffset>10227945</wp:posOffset>
              </wp:positionV>
              <wp:extent cx="7560310" cy="273050"/>
              <wp:effectExtent l="0" t="0" r="0" b="12700"/>
              <wp:wrapNone/>
              <wp:docPr id="21" name="MSIPCM51614d43932edca5022bd08b" descr="{&quot;HashCode&quot;:-2049920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AC3AFA" w14:textId="1252D511" w:rsidR="00904B4F" w:rsidRPr="00904B4F" w:rsidRDefault="00904B4F" w:rsidP="00904B4F">
                          <w:pPr>
                            <w:jc w:val="center"/>
                            <w:rPr>
                              <w:rFonts w:ascii="Calibri" w:hAnsi="Calibri"/>
                              <w:color w:val="000000"/>
                            </w:rPr>
                          </w:pPr>
                          <w:r w:rsidRPr="00904B4F">
                            <w:rPr>
                              <w:rFonts w:ascii="Calibri" w:hAnsi="Calibri"/>
                              <w:color w:val="000000"/>
                            </w:rPr>
                            <w:t>AXA IM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791430" id="_x0000_t202" coordsize="21600,21600" o:spt="202" path="m,l,21600r21600,l21600,xe">
              <v:stroke joinstyle="miter"/>
              <v:path gradientshapeok="t" o:connecttype="rect"/>
            </v:shapetype>
            <v:shape id="MSIPCM51614d43932edca5022bd08b" o:spid="_x0000_s1029" type="#_x0000_t202" alt="{&quot;HashCode&quot;:-2049920027,&quot;Height&quot;:841.0,&quot;Width&quot;:595.0,&quot;Placement&quot;:&quot;Footer&quot;,&quot;Index&quot;:&quot;Primary&quot;,&quot;Section&quot;:2,&quot;Top&quot;:0.0,&quot;Left&quot;:0.0}" style="position:absolute;margin-left:0;margin-top:805.35pt;width:595.3pt;height:21.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JVGxC0cAwAAPwYAAA4AAAAAAAAA&#10;AAAAAAAALgIAAGRycy9lMm9Eb2MueG1sUEsBAi0AFAAGAAgAAAAhAJ/VQezfAAAACwEAAA8AAAAA&#10;AAAAAAAAAAAAdgUAAGRycy9kb3ducmV2LnhtbFBLBQYAAAAABAAEAPMAAACCBgAAAAA=&#10;" o:allowincell="f" filled="f" stroked="f" strokeweight=".5pt">
              <v:textbox inset=",0,,0">
                <w:txbxContent>
                  <w:p w14:paraId="11AC3AFA" w14:textId="1252D511" w:rsidR="00904B4F" w:rsidRPr="00904B4F" w:rsidRDefault="00904B4F" w:rsidP="00904B4F">
                    <w:pPr>
                      <w:jc w:val="center"/>
                      <w:rPr>
                        <w:rFonts w:ascii="Calibri" w:hAnsi="Calibri"/>
                        <w:color w:val="000000"/>
                      </w:rPr>
                    </w:pPr>
                    <w:r w:rsidRPr="00904B4F">
                      <w:rPr>
                        <w:rFonts w:ascii="Calibri" w:hAnsi="Calibri"/>
                        <w:color w:val="000000"/>
                      </w:rPr>
                      <w:t>AXA IM - INTERNAL</w:t>
                    </w:r>
                  </w:p>
                </w:txbxContent>
              </v:textbox>
              <w10:wrap anchorx="page" anchory="page"/>
            </v:shape>
          </w:pict>
        </mc:Fallback>
      </mc:AlternateContent>
    </w:r>
    <w:r w:rsidR="007D1C99">
      <w:rPr>
        <w:noProof/>
        <w:lang w:eastAsia="fr-FR"/>
      </w:rPr>
      <mc:AlternateContent>
        <mc:Choice Requires="wps">
          <w:drawing>
            <wp:anchor distT="0" distB="0" distL="114300" distR="114300" simplePos="0" relativeHeight="251675136" behindDoc="0" locked="0" layoutInCell="0" allowOverlap="1" wp14:anchorId="2DACD8E0" wp14:editId="5B08DC05">
              <wp:simplePos x="0" y="0"/>
              <wp:positionH relativeFrom="page">
                <wp:posOffset>0</wp:posOffset>
              </wp:positionH>
              <wp:positionV relativeFrom="page">
                <wp:posOffset>10227945</wp:posOffset>
              </wp:positionV>
              <wp:extent cx="7560310" cy="273050"/>
              <wp:effectExtent l="0" t="0" r="0" b="12700"/>
              <wp:wrapNone/>
              <wp:docPr id="14" name="MSIPCM3a344d6dbd22af1cbde5d222" descr="{&quot;HashCode&quot;:-2049920027,&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154D1" w14:textId="28C98292" w:rsidR="007D1C99" w:rsidRPr="007658FE" w:rsidRDefault="007D1C99" w:rsidP="007658FE">
                          <w:pPr>
                            <w:jc w:val="center"/>
                            <w:rPr>
                              <w:rFonts w:ascii="Calibri" w:hAnsi="Calibri" w:cs="Calibri"/>
                              <w:color w:val="000000"/>
                            </w:rPr>
                          </w:pPr>
                          <w:r>
                            <w:rPr>
                              <w:rFonts w:ascii="Calibri" w:hAnsi="Calibri" w:cs="Calibri"/>
                              <w:color w:val="000000"/>
                            </w:rPr>
                            <w:t>AXA IM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DACD8E0" id="MSIPCM3a344d6dbd22af1cbde5d222" o:spid="_x0000_s1030" type="#_x0000_t202" alt="{&quot;HashCode&quot;:-2049920027,&quot;Height&quot;:841.0,&quot;Width&quot;:595.0,&quot;Placement&quot;:&quot;Footer&quot;,&quot;Index&quot;:&quot;Primary&quot;,&quot;Section&quot;:4,&quot;Top&quot;:0.0,&quot;Left&quot;:0.0}" style="position:absolute;margin-left:0;margin-top:805.35pt;width:595.3pt;height:21.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" o:allowincell="f" filled="f" stroked="f" strokeweight=".5pt">
              <v:textbox inset=",0,,0">
                <w:txbxContent>
                  <w:p w14:paraId="186154D1" w14:textId="28C98292" w:rsidR="007D1C99" w:rsidRPr="007658FE" w:rsidRDefault="007D1C99" w:rsidP="007658FE">
                    <w:pPr>
                      <w:jc w:val="center"/>
                      <w:rPr>
                        <w:rFonts w:ascii="Calibri" w:hAnsi="Calibri" w:cs="Calibri"/>
                        <w:color w:val="000000"/>
                      </w:rPr>
                    </w:pPr>
                    <w:r>
                      <w:rPr>
                        <w:rFonts w:ascii="Calibri" w:hAnsi="Calibri" w:cs="Calibri"/>
                        <w:color w:val="000000"/>
                      </w:rPr>
                      <w:t>AXA IM - INTERNAL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6BE76" w14:textId="77777777" w:rsidR="00F90EA3" w:rsidRDefault="001B66F1">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5A1D" w14:textId="5B3D1CF8" w:rsidR="000C12B7" w:rsidRDefault="00904B4F">
    <w:pPr>
      <w:pStyle w:val="Pieddepage"/>
    </w:pPr>
    <w:r>
      <w:rPr>
        <w:noProof/>
      </w:rPr>
      <mc:AlternateContent>
        <mc:Choice Requires="wps">
          <w:drawing>
            <wp:anchor distT="0" distB="0" distL="114300" distR="114300" simplePos="0" relativeHeight="251678208" behindDoc="0" locked="0" layoutInCell="0" allowOverlap="1" wp14:anchorId="528D3ADF" wp14:editId="5FB61C39">
              <wp:simplePos x="0" y="0"/>
              <wp:positionH relativeFrom="page">
                <wp:posOffset>0</wp:posOffset>
              </wp:positionH>
              <wp:positionV relativeFrom="page">
                <wp:posOffset>10227945</wp:posOffset>
              </wp:positionV>
              <wp:extent cx="7560310" cy="273050"/>
              <wp:effectExtent l="0" t="0" r="0" b="12700"/>
              <wp:wrapNone/>
              <wp:docPr id="22" name="MSIPCM53d7486ea0b19497ae8f1688" descr="{&quot;HashCode&quot;:-2049920027,&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C0690" w14:textId="7E6A0186" w:rsidR="00904B4F" w:rsidRPr="00904B4F" w:rsidRDefault="00904B4F" w:rsidP="00904B4F">
                          <w:pPr>
                            <w:jc w:val="center"/>
                            <w:rPr>
                              <w:rFonts w:ascii="Calibri" w:hAnsi="Calibri"/>
                              <w:color w:val="000000"/>
                            </w:rPr>
                          </w:pPr>
                          <w:r w:rsidRPr="00904B4F">
                            <w:rPr>
                              <w:rFonts w:ascii="Calibri" w:hAnsi="Calibri"/>
                              <w:color w:val="000000"/>
                            </w:rPr>
                            <w:t>AXA IM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8D3ADF" id="_x0000_t202" coordsize="21600,21600" o:spt="202" path="m,l,21600r21600,l21600,xe">
              <v:stroke joinstyle="miter"/>
              <v:path gradientshapeok="t" o:connecttype="rect"/>
            </v:shapetype>
            <v:shape id="MSIPCM53d7486ea0b19497ae8f1688" o:spid="_x0000_s1031" type="#_x0000_t202" alt="{&quot;HashCode&quot;:-2049920027,&quot;Height&quot;:841.0,&quot;Width&quot;:595.0,&quot;Placement&quot;:&quot;Footer&quot;,&quot;Index&quot;:&quot;Primary&quot;,&quot;Section&quot;:3,&quot;Top&quot;:0.0,&quot;Left&quot;:0.0}" style="position:absolute;margin-left:0;margin-top:805.35pt;width:595.3pt;height:21.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ByH/qWHQMAAD8GAAAOAAAAAAAA&#10;AAAAAAAAAC4CAABkcnMvZTJvRG9jLnhtbFBLAQItABQABgAIAAAAIQCf1UHs3wAAAAsBAAAPAAAA&#10;AAAAAAAAAAAAAHcFAABkcnMvZG93bnJldi54bWxQSwUGAAAAAAQABADzAAAAgwYAAAAA&#10;" o:allowincell="f" filled="f" stroked="f" strokeweight=".5pt">
              <v:textbox inset=",0,,0">
                <w:txbxContent>
                  <w:p w14:paraId="358C0690" w14:textId="7E6A0186" w:rsidR="00904B4F" w:rsidRPr="00904B4F" w:rsidRDefault="00904B4F" w:rsidP="00904B4F">
                    <w:pPr>
                      <w:jc w:val="center"/>
                      <w:rPr>
                        <w:rFonts w:ascii="Calibri" w:hAnsi="Calibri"/>
                        <w:color w:val="000000"/>
                      </w:rPr>
                    </w:pPr>
                    <w:r w:rsidRPr="00904B4F">
                      <w:rPr>
                        <w:rFonts w:ascii="Calibri" w:hAnsi="Calibri"/>
                        <w:color w:val="000000"/>
                      </w:rPr>
                      <w:t>AXA IM - INTERNAL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8A79" w14:textId="1ED0F538" w:rsidR="00F90EA3" w:rsidRDefault="00904B4F">
    <w:pPr>
      <w:pStyle w:val="Pieddepage"/>
    </w:pPr>
    <w:r>
      <w:rPr>
        <w:noProof/>
      </w:rPr>
      <mc:AlternateContent>
        <mc:Choice Requires="wps">
          <w:drawing>
            <wp:anchor distT="0" distB="0" distL="114300" distR="114300" simplePos="1" relativeHeight="251679232" behindDoc="0" locked="0" layoutInCell="0" allowOverlap="1" wp14:anchorId="515C258E" wp14:editId="63CFF3A5">
              <wp:simplePos x="0" y="10228183"/>
              <wp:positionH relativeFrom="page">
                <wp:posOffset>0</wp:posOffset>
              </wp:positionH>
              <wp:positionV relativeFrom="page">
                <wp:posOffset>10227945</wp:posOffset>
              </wp:positionV>
              <wp:extent cx="7560310" cy="273050"/>
              <wp:effectExtent l="0" t="0" r="0" b="12700"/>
              <wp:wrapNone/>
              <wp:docPr id="23" name="MSIPCM2ee942edabb468cc91a68799" descr="{&quot;HashCode&quot;:-2049920027,&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E7652C" w14:textId="5754ABC6" w:rsidR="00904B4F" w:rsidRPr="00904B4F" w:rsidRDefault="00904B4F" w:rsidP="00904B4F">
                          <w:pPr>
                            <w:jc w:val="center"/>
                            <w:rPr>
                              <w:rFonts w:ascii="Calibri" w:hAnsi="Calibri"/>
                              <w:color w:val="000000"/>
                            </w:rPr>
                          </w:pPr>
                          <w:r w:rsidRPr="00904B4F">
                            <w:rPr>
                              <w:rFonts w:ascii="Calibri" w:hAnsi="Calibri"/>
                              <w:color w:val="000000"/>
                            </w:rPr>
                            <w:t>AXA IM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5C258E" id="_x0000_t202" coordsize="21600,21600" o:spt="202" path="m,l,21600r21600,l21600,xe">
              <v:stroke joinstyle="miter"/>
              <v:path gradientshapeok="t" o:connecttype="rect"/>
            </v:shapetype>
            <v:shape id="MSIPCM2ee942edabb468cc91a68799" o:spid="_x0000_s1032" type="#_x0000_t202" alt="{&quot;HashCode&quot;:-2049920027,&quot;Height&quot;:841.0,&quot;Width&quot;:595.0,&quot;Placement&quot;:&quot;Footer&quot;,&quot;Index&quot;:&quot;FirstPage&quot;,&quot;Section&quot;:3,&quot;Top&quot;:0.0,&quot;Left&quot;:0.0}" style="position:absolute;margin-left:0;margin-top:805.35pt;width:595.3pt;height:21.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" o:allowincell="f" filled="f" stroked="f" strokeweight=".5pt">
              <v:textbox inset=",0,,0">
                <w:txbxContent>
                  <w:p w14:paraId="0EE7652C" w14:textId="5754ABC6" w:rsidR="00904B4F" w:rsidRPr="00904B4F" w:rsidRDefault="00904B4F" w:rsidP="00904B4F">
                    <w:pPr>
                      <w:jc w:val="center"/>
                      <w:rPr>
                        <w:rFonts w:ascii="Calibri" w:hAnsi="Calibri"/>
                        <w:color w:val="000000"/>
                      </w:rPr>
                    </w:pPr>
                    <w:r w:rsidRPr="00904B4F">
                      <w:rPr>
                        <w:rFonts w:ascii="Calibri" w:hAnsi="Calibri"/>
                        <w:color w:val="000000"/>
                      </w:rPr>
                      <w:t>AXA IM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929D" w14:textId="77777777" w:rsidR="007D1C99" w:rsidRDefault="007D1C99" w:rsidP="00B62251">
      <w:r>
        <w:separator/>
      </w:r>
    </w:p>
  </w:footnote>
  <w:footnote w:type="continuationSeparator" w:id="0">
    <w:p w14:paraId="59219D6F" w14:textId="77777777" w:rsidR="007D1C99" w:rsidRDefault="007D1C99" w:rsidP="00B6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EB1B" w14:textId="77777777" w:rsidR="007A319C" w:rsidRDefault="007A31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5CC1" w14:textId="77777777" w:rsidR="007D1C99" w:rsidRDefault="007D1C99" w:rsidP="0082597F">
    <w:pPr>
      <w:pStyle w:val="Identifier"/>
    </w:pPr>
    <w:r>
      <w:rPr>
        <w:noProof/>
        <w:lang w:eastAsia="fr-FR"/>
      </w:rPr>
      <w:drawing>
        <wp:anchor distT="0" distB="0" distL="114300" distR="114300" simplePos="0" relativeHeight="251661824" behindDoc="1" locked="0" layoutInCell="1" allowOverlap="1" wp14:anchorId="3E58F863" wp14:editId="763DCA46">
          <wp:simplePos x="0" y="0"/>
          <wp:positionH relativeFrom="column">
            <wp:posOffset>-8889</wp:posOffset>
          </wp:positionH>
          <wp:positionV relativeFrom="paragraph">
            <wp:posOffset>-6984</wp:posOffset>
          </wp:positionV>
          <wp:extent cx="1981200" cy="562186"/>
          <wp:effectExtent l="0" t="0" r="0" b="9525"/>
          <wp:wrapNone/>
          <wp:docPr id="15" name="Picture 6" descr="invest_managers_open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_managers_open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463" cy="574179"/>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77C433E6" w14:textId="77777777" w:rsidR="007D1C99" w:rsidRDefault="007D1C99" w:rsidP="004A6D52">
    <w:pPr>
      <w:pStyle w:val="Identifier"/>
      <w:jc w:val="center"/>
    </w:pPr>
  </w:p>
  <w:p w14:paraId="3D07EBF3" w14:textId="77777777" w:rsidR="007D1C99" w:rsidRPr="00921B14" w:rsidRDefault="007D1C99" w:rsidP="00104EF3">
    <w:pPr>
      <w:pStyle w:val="Identifi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EF35" w14:textId="77777777" w:rsidR="007D1C99" w:rsidRDefault="007D1C99" w:rsidP="008D60C4">
    <w:pPr>
      <w:ind w:left="5103"/>
      <w:jc w:val="right"/>
      <w:rPr>
        <w:b/>
      </w:rPr>
    </w:pPr>
    <w:r>
      <w:rPr>
        <w:noProof/>
        <w:lang w:eastAsia="fr-FR"/>
      </w:rPr>
      <w:drawing>
        <wp:anchor distT="0" distB="0" distL="114300" distR="114300" simplePos="0" relativeHeight="251659776" behindDoc="1" locked="0" layoutInCell="1" allowOverlap="1" wp14:anchorId="2D1E4930" wp14:editId="7DEA7CF1">
          <wp:simplePos x="0" y="0"/>
          <wp:positionH relativeFrom="column">
            <wp:posOffset>-8889</wp:posOffset>
          </wp:positionH>
          <wp:positionV relativeFrom="paragraph">
            <wp:posOffset>-6984</wp:posOffset>
          </wp:positionV>
          <wp:extent cx="1981200" cy="562186"/>
          <wp:effectExtent l="0" t="0" r="0" b="9525"/>
          <wp:wrapNone/>
          <wp:docPr id="17" name="Picture 4" descr="invest_managers_open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_managers_open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463" cy="574179"/>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b/>
      </w:rPr>
      <w:t>Réservé aux clients professionnels.</w:t>
    </w:r>
  </w:p>
  <w:p w14:paraId="06FE80E0" w14:textId="5296EACB" w:rsidR="007D1C99" w:rsidRPr="00B44D00" w:rsidRDefault="007D1C99" w:rsidP="00620A32">
    <w:pPr>
      <w:ind w:left="5529"/>
      <w:jc w:val="right"/>
      <w:rPr>
        <w:color w:val="333333"/>
      </w:rPr>
    </w:pPr>
    <w:r>
      <w:rPr>
        <w:color w:val="333333"/>
      </w:rPr>
      <w:t>C</w:t>
    </w:r>
    <w:r w:rsidRPr="00B44D00">
      <w:rPr>
        <w:color w:val="333333"/>
      </w:rPr>
      <w:t>e document est exclusivement destiné aux investisseurs / clients professionnels, institutionnels, qualifiés, tels que définis par les lois et réglementations locales applicables. Sa circulation doit être restreinte en conséquence</w:t>
    </w:r>
    <w:r>
      <w:rPr>
        <w:color w:val="333333"/>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2BA6" w14:textId="77777777" w:rsidR="00F90EA3" w:rsidRDefault="001B66F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5E23" w14:textId="77777777" w:rsidR="00F90EA3" w:rsidRDefault="001B66F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CA3F" w14:textId="77777777" w:rsidR="00F90EA3" w:rsidRDefault="001B66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2D6"/>
    <w:multiLevelType w:val="hybridMultilevel"/>
    <w:tmpl w:val="EB38542E"/>
    <w:lvl w:ilvl="0" w:tplc="96747988">
      <w:numFmt w:val="bullet"/>
      <w:lvlText w:val="•"/>
      <w:lvlJc w:val="left"/>
      <w:pPr>
        <w:ind w:left="1080" w:hanging="72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4627F"/>
    <w:multiLevelType w:val="hybridMultilevel"/>
    <w:tmpl w:val="CCB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35AF8"/>
    <w:multiLevelType w:val="hybridMultilevel"/>
    <w:tmpl w:val="4BB4B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04D55"/>
    <w:multiLevelType w:val="hybridMultilevel"/>
    <w:tmpl w:val="05BC45AC"/>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96F1A"/>
    <w:multiLevelType w:val="hybridMultilevel"/>
    <w:tmpl w:val="D69EE946"/>
    <w:lvl w:ilvl="0" w:tplc="B28EA3E2">
      <w:start w:val="1"/>
      <w:numFmt w:val="bullet"/>
      <w:pStyle w:val="Paragraphedeliste"/>
      <w:lvlText w:val=""/>
      <w:lvlJc w:val="left"/>
      <w:pPr>
        <w:ind w:left="720" w:hanging="360"/>
      </w:pPr>
      <w:rPr>
        <w:rFonts w:ascii="Symbol" w:hAnsi="Symbol" w:hint="default"/>
        <w:color w:val="0000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866BB"/>
    <w:multiLevelType w:val="hybridMultilevel"/>
    <w:tmpl w:val="E1A63C74"/>
    <w:lvl w:ilvl="0" w:tplc="040C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hyphenationZone w:val="425"/>
  <w:defaultTableStyle w:val="Grilledutableau"/>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B0"/>
    <w:rsid w:val="00000F92"/>
    <w:rsid w:val="00004FC8"/>
    <w:rsid w:val="0001175A"/>
    <w:rsid w:val="0002267F"/>
    <w:rsid w:val="000477ED"/>
    <w:rsid w:val="00050A57"/>
    <w:rsid w:val="00060C58"/>
    <w:rsid w:val="000A595E"/>
    <w:rsid w:val="000B3964"/>
    <w:rsid w:val="000D5FE7"/>
    <w:rsid w:val="000F3478"/>
    <w:rsid w:val="00104EF3"/>
    <w:rsid w:val="001169F4"/>
    <w:rsid w:val="00134FFB"/>
    <w:rsid w:val="0014020E"/>
    <w:rsid w:val="00186E6C"/>
    <w:rsid w:val="001B524B"/>
    <w:rsid w:val="001B66F1"/>
    <w:rsid w:val="001C52FC"/>
    <w:rsid w:val="001D2BDF"/>
    <w:rsid w:val="002353A9"/>
    <w:rsid w:val="0024719E"/>
    <w:rsid w:val="002564A2"/>
    <w:rsid w:val="00261BAC"/>
    <w:rsid w:val="002A23B6"/>
    <w:rsid w:val="002C2B14"/>
    <w:rsid w:val="002D666A"/>
    <w:rsid w:val="002E532C"/>
    <w:rsid w:val="002F00B0"/>
    <w:rsid w:val="003075AE"/>
    <w:rsid w:val="003132DF"/>
    <w:rsid w:val="00331832"/>
    <w:rsid w:val="00341DC7"/>
    <w:rsid w:val="00343720"/>
    <w:rsid w:val="00366D30"/>
    <w:rsid w:val="00374A0B"/>
    <w:rsid w:val="0039214D"/>
    <w:rsid w:val="003A765E"/>
    <w:rsid w:val="003C4BBB"/>
    <w:rsid w:val="003E6C0E"/>
    <w:rsid w:val="003F6F48"/>
    <w:rsid w:val="00403572"/>
    <w:rsid w:val="004209A6"/>
    <w:rsid w:val="00456EF5"/>
    <w:rsid w:val="0047095B"/>
    <w:rsid w:val="00471A62"/>
    <w:rsid w:val="004849F4"/>
    <w:rsid w:val="00490D5E"/>
    <w:rsid w:val="00495F01"/>
    <w:rsid w:val="004A0E4D"/>
    <w:rsid w:val="004A6D52"/>
    <w:rsid w:val="004B35EC"/>
    <w:rsid w:val="004C08CA"/>
    <w:rsid w:val="004C26E3"/>
    <w:rsid w:val="004C7070"/>
    <w:rsid w:val="004F4A78"/>
    <w:rsid w:val="00500EF3"/>
    <w:rsid w:val="005117DE"/>
    <w:rsid w:val="0052214F"/>
    <w:rsid w:val="00533C1C"/>
    <w:rsid w:val="005377BA"/>
    <w:rsid w:val="00565873"/>
    <w:rsid w:val="00574B92"/>
    <w:rsid w:val="00576B5C"/>
    <w:rsid w:val="0057790A"/>
    <w:rsid w:val="005A57FE"/>
    <w:rsid w:val="005C4144"/>
    <w:rsid w:val="005D6803"/>
    <w:rsid w:val="005E62CE"/>
    <w:rsid w:val="006002CD"/>
    <w:rsid w:val="00620A32"/>
    <w:rsid w:val="00642716"/>
    <w:rsid w:val="00653A31"/>
    <w:rsid w:val="006665F8"/>
    <w:rsid w:val="006800D7"/>
    <w:rsid w:val="00684484"/>
    <w:rsid w:val="006C04D1"/>
    <w:rsid w:val="006D0815"/>
    <w:rsid w:val="006D1CA5"/>
    <w:rsid w:val="006D3B78"/>
    <w:rsid w:val="006D4A4D"/>
    <w:rsid w:val="006E1E68"/>
    <w:rsid w:val="006F433C"/>
    <w:rsid w:val="007070FA"/>
    <w:rsid w:val="00736549"/>
    <w:rsid w:val="00736A73"/>
    <w:rsid w:val="00737462"/>
    <w:rsid w:val="007658FE"/>
    <w:rsid w:val="00767C87"/>
    <w:rsid w:val="007A319C"/>
    <w:rsid w:val="007A3FDC"/>
    <w:rsid w:val="007A534D"/>
    <w:rsid w:val="007B440B"/>
    <w:rsid w:val="007B5A34"/>
    <w:rsid w:val="007D1C99"/>
    <w:rsid w:val="007D383A"/>
    <w:rsid w:val="007D3C8F"/>
    <w:rsid w:val="007E70E6"/>
    <w:rsid w:val="007E71E4"/>
    <w:rsid w:val="007F4003"/>
    <w:rsid w:val="007F7BDF"/>
    <w:rsid w:val="0082557B"/>
    <w:rsid w:val="0082597F"/>
    <w:rsid w:val="00854160"/>
    <w:rsid w:val="00880491"/>
    <w:rsid w:val="00886711"/>
    <w:rsid w:val="0089417A"/>
    <w:rsid w:val="008A1437"/>
    <w:rsid w:val="008A6F0E"/>
    <w:rsid w:val="008D0F68"/>
    <w:rsid w:val="008D60C4"/>
    <w:rsid w:val="00904B4F"/>
    <w:rsid w:val="00921B14"/>
    <w:rsid w:val="0095471E"/>
    <w:rsid w:val="009704A5"/>
    <w:rsid w:val="00973804"/>
    <w:rsid w:val="00987ECB"/>
    <w:rsid w:val="00990552"/>
    <w:rsid w:val="009C142A"/>
    <w:rsid w:val="009D7012"/>
    <w:rsid w:val="00A00325"/>
    <w:rsid w:val="00A063D8"/>
    <w:rsid w:val="00A142A4"/>
    <w:rsid w:val="00AC0834"/>
    <w:rsid w:val="00AC736C"/>
    <w:rsid w:val="00AD2448"/>
    <w:rsid w:val="00AF09D5"/>
    <w:rsid w:val="00AF31A6"/>
    <w:rsid w:val="00B13CA6"/>
    <w:rsid w:val="00B34403"/>
    <w:rsid w:val="00B44D00"/>
    <w:rsid w:val="00B56DAC"/>
    <w:rsid w:val="00B62251"/>
    <w:rsid w:val="00B624D1"/>
    <w:rsid w:val="00B70625"/>
    <w:rsid w:val="00B86697"/>
    <w:rsid w:val="00B944C0"/>
    <w:rsid w:val="00BA1A6D"/>
    <w:rsid w:val="00BA403C"/>
    <w:rsid w:val="00BB18CF"/>
    <w:rsid w:val="00BF0E2C"/>
    <w:rsid w:val="00C03606"/>
    <w:rsid w:val="00C0562B"/>
    <w:rsid w:val="00C2401E"/>
    <w:rsid w:val="00C55793"/>
    <w:rsid w:val="00C62CB5"/>
    <w:rsid w:val="00C769BC"/>
    <w:rsid w:val="00CA07BF"/>
    <w:rsid w:val="00CA0EAA"/>
    <w:rsid w:val="00CB5C57"/>
    <w:rsid w:val="00D0524B"/>
    <w:rsid w:val="00D22EA3"/>
    <w:rsid w:val="00D37861"/>
    <w:rsid w:val="00D42C99"/>
    <w:rsid w:val="00D45350"/>
    <w:rsid w:val="00D55DD1"/>
    <w:rsid w:val="00D57098"/>
    <w:rsid w:val="00D75536"/>
    <w:rsid w:val="00D93E8A"/>
    <w:rsid w:val="00DB4D4D"/>
    <w:rsid w:val="00DD5382"/>
    <w:rsid w:val="00DD78CA"/>
    <w:rsid w:val="00DF74B2"/>
    <w:rsid w:val="00E0395B"/>
    <w:rsid w:val="00E364AA"/>
    <w:rsid w:val="00E503AD"/>
    <w:rsid w:val="00E90EF6"/>
    <w:rsid w:val="00E9424F"/>
    <w:rsid w:val="00E974D5"/>
    <w:rsid w:val="00EA19DA"/>
    <w:rsid w:val="00EA4335"/>
    <w:rsid w:val="00EF087C"/>
    <w:rsid w:val="00EF4381"/>
    <w:rsid w:val="00F1176B"/>
    <w:rsid w:val="00F26DAA"/>
    <w:rsid w:val="00F44A0D"/>
    <w:rsid w:val="00F51EC0"/>
    <w:rsid w:val="00F64E13"/>
    <w:rsid w:val="00F81269"/>
    <w:rsid w:val="00F83BBE"/>
    <w:rsid w:val="00FB2205"/>
    <w:rsid w:val="00FB734E"/>
    <w:rsid w:val="00FD51CE"/>
    <w:rsid w:val="00FF02BD"/>
    <w:rsid w:val="00FF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98C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251"/>
    <w:pPr>
      <w:autoSpaceDE w:val="0"/>
      <w:autoSpaceDN w:val="0"/>
      <w:adjustRightInd w:val="0"/>
    </w:pPr>
    <w:rPr>
      <w:rFonts w:ascii="Calibri Light" w:hAnsi="Calibri Light" w:cs="CenturyGothic-Bold"/>
      <w:bCs/>
      <w:lang w:eastAsia="en-US"/>
    </w:rPr>
  </w:style>
  <w:style w:type="paragraph" w:styleId="Titre1">
    <w:name w:val="heading 1"/>
    <w:basedOn w:val="Normal"/>
    <w:next w:val="Normal"/>
    <w:link w:val="Titre1Car"/>
    <w:uiPriority w:val="9"/>
    <w:qFormat/>
    <w:rsid w:val="00104EF3"/>
    <w:pPr>
      <w:spacing w:after="360" w:line="216" w:lineRule="auto"/>
      <w:ind w:right="2608"/>
      <w:outlineLvl w:val="0"/>
    </w:pPr>
    <w:rPr>
      <w:rFonts w:ascii="Georgia" w:hAnsi="Georgia"/>
      <w:b/>
      <w:color w:val="00008F"/>
      <w:sz w:val="72"/>
      <w:szCs w:val="72"/>
    </w:rPr>
  </w:style>
  <w:style w:type="paragraph" w:styleId="Titre2">
    <w:name w:val="heading 2"/>
    <w:basedOn w:val="Normal"/>
    <w:next w:val="Normal"/>
    <w:link w:val="Titre2Car"/>
    <w:uiPriority w:val="9"/>
    <w:unhideWhenUsed/>
    <w:qFormat/>
    <w:rsid w:val="00921B14"/>
    <w:pPr>
      <w:spacing w:after="1080"/>
      <w:outlineLvl w:val="1"/>
    </w:pPr>
    <w:rPr>
      <w:rFonts w:ascii="Calibri" w:hAnsi="Calibri"/>
      <w:color w:val="00008F"/>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6697"/>
    <w:pPr>
      <w:tabs>
        <w:tab w:val="center" w:pos="4513"/>
        <w:tab w:val="right" w:pos="9026"/>
      </w:tabs>
    </w:pPr>
  </w:style>
  <w:style w:type="character" w:customStyle="1" w:styleId="En-tteCar">
    <w:name w:val="En-tête Car"/>
    <w:basedOn w:val="Policepardfaut"/>
    <w:link w:val="En-tte"/>
    <w:uiPriority w:val="99"/>
    <w:rsid w:val="00B86697"/>
  </w:style>
  <w:style w:type="paragraph" w:styleId="Pieddepage">
    <w:name w:val="footer"/>
    <w:basedOn w:val="Normal"/>
    <w:link w:val="PieddepageCar"/>
    <w:uiPriority w:val="99"/>
    <w:unhideWhenUsed/>
    <w:rsid w:val="00B86697"/>
    <w:pPr>
      <w:tabs>
        <w:tab w:val="center" w:pos="4513"/>
        <w:tab w:val="right" w:pos="9026"/>
      </w:tabs>
    </w:pPr>
  </w:style>
  <w:style w:type="character" w:customStyle="1" w:styleId="PieddepageCar">
    <w:name w:val="Pied de page Car"/>
    <w:basedOn w:val="Policepardfaut"/>
    <w:link w:val="Pieddepage"/>
    <w:uiPriority w:val="99"/>
    <w:rsid w:val="00B86697"/>
  </w:style>
  <w:style w:type="character" w:customStyle="1" w:styleId="Titre1Car">
    <w:name w:val="Titre 1 Car"/>
    <w:link w:val="Titre1"/>
    <w:uiPriority w:val="9"/>
    <w:rsid w:val="00104EF3"/>
    <w:rPr>
      <w:rFonts w:ascii="Georgia" w:hAnsi="Georgia" w:cs="CenturyGothic-Bold"/>
      <w:b/>
      <w:bCs/>
      <w:color w:val="00008F"/>
      <w:sz w:val="72"/>
      <w:szCs w:val="72"/>
      <w:lang w:eastAsia="en-US"/>
    </w:rPr>
  </w:style>
  <w:style w:type="character" w:customStyle="1" w:styleId="Titre2Car">
    <w:name w:val="Titre 2 Car"/>
    <w:link w:val="Titre2"/>
    <w:uiPriority w:val="9"/>
    <w:rsid w:val="00921B14"/>
    <w:rPr>
      <w:rFonts w:cs="CenturyGothic-Bold"/>
      <w:bCs/>
      <w:color w:val="00008F"/>
      <w:sz w:val="36"/>
      <w:szCs w:val="36"/>
    </w:rPr>
  </w:style>
  <w:style w:type="paragraph" w:customStyle="1" w:styleId="Identifier">
    <w:name w:val="Identifier"/>
    <w:basedOn w:val="Forprofessionalinvestorsonly"/>
    <w:link w:val="IdentifierChar"/>
    <w:qFormat/>
    <w:rsid w:val="00104EF3"/>
    <w:pPr>
      <w:ind w:left="709"/>
      <w:jc w:val="right"/>
    </w:pPr>
    <w:rPr>
      <w:color w:val="000000"/>
    </w:rPr>
  </w:style>
  <w:style w:type="paragraph" w:customStyle="1" w:styleId="Forprofessionalinvestorsonly">
    <w:name w:val="For professional investors only"/>
    <w:basedOn w:val="Pieddepage"/>
    <w:link w:val="ForprofessionalinvestorsonlyChar"/>
    <w:qFormat/>
    <w:rsid w:val="00495F01"/>
    <w:rPr>
      <w:color w:val="808080"/>
    </w:rPr>
  </w:style>
  <w:style w:type="character" w:customStyle="1" w:styleId="IdentifierChar">
    <w:name w:val="Identifier Char"/>
    <w:link w:val="Identifier"/>
    <w:rsid w:val="00104EF3"/>
    <w:rPr>
      <w:rFonts w:ascii="Calibri Light" w:hAnsi="Calibri Light" w:cs="CenturyGothic-Bold"/>
      <w:bCs/>
      <w:color w:val="000000"/>
      <w:lang w:eastAsia="en-US"/>
    </w:rPr>
  </w:style>
  <w:style w:type="character" w:customStyle="1" w:styleId="ForprofessionalinvestorsonlyChar">
    <w:name w:val="For professional investors only Char"/>
    <w:link w:val="Forprofessionalinvestorsonly"/>
    <w:rsid w:val="00495F01"/>
    <w:rPr>
      <w:rFonts w:ascii="Calibri Light" w:hAnsi="Calibri Light" w:cs="CenturyGothic-Bold"/>
      <w:bCs/>
      <w:color w:val="808080"/>
      <w:sz w:val="20"/>
      <w:szCs w:val="20"/>
    </w:rPr>
  </w:style>
  <w:style w:type="paragraph" w:customStyle="1" w:styleId="Byline">
    <w:name w:val="Byline"/>
    <w:basedOn w:val="Normal"/>
    <w:link w:val="BylineChar"/>
    <w:qFormat/>
    <w:rsid w:val="00886711"/>
    <w:pPr>
      <w:spacing w:after="240"/>
    </w:pPr>
    <w:rPr>
      <w:rFonts w:ascii="Calibri" w:hAnsi="Calibri"/>
      <w:b/>
      <w:noProof/>
      <w:color w:val="00008F"/>
      <w:sz w:val="24"/>
      <w:szCs w:val="24"/>
    </w:rPr>
  </w:style>
  <w:style w:type="character" w:customStyle="1" w:styleId="BylineChar">
    <w:name w:val="Byline Char"/>
    <w:link w:val="Byline"/>
    <w:rsid w:val="00886711"/>
    <w:rPr>
      <w:rFonts w:cs="CenturyGothic-Bold"/>
      <w:b/>
      <w:bCs/>
      <w:noProof/>
      <w:color w:val="00008F"/>
      <w:sz w:val="24"/>
      <w:szCs w:val="24"/>
      <w:lang w:eastAsia="en-US"/>
    </w:rPr>
  </w:style>
  <w:style w:type="paragraph" w:styleId="Lgende">
    <w:name w:val="caption"/>
    <w:basedOn w:val="Normal"/>
    <w:next w:val="Normal"/>
    <w:uiPriority w:val="35"/>
    <w:semiHidden/>
    <w:unhideWhenUsed/>
    <w:qFormat/>
    <w:rsid w:val="00886711"/>
    <w:rPr>
      <w:b/>
    </w:rPr>
  </w:style>
  <w:style w:type="paragraph" w:customStyle="1" w:styleId="Figureheading">
    <w:name w:val="Figure heading"/>
    <w:basedOn w:val="Normal"/>
    <w:link w:val="FigureheadingChar"/>
    <w:qFormat/>
    <w:rsid w:val="00886711"/>
    <w:pPr>
      <w:keepNext/>
    </w:pPr>
    <w:rPr>
      <w:rFonts w:ascii="Calibri" w:hAnsi="Calibri"/>
      <w:noProof/>
      <w:color w:val="00008F"/>
      <w:sz w:val="24"/>
      <w:szCs w:val="24"/>
    </w:rPr>
  </w:style>
  <w:style w:type="paragraph" w:customStyle="1" w:styleId="Source">
    <w:name w:val="Source"/>
    <w:basedOn w:val="Normal"/>
    <w:link w:val="SourceChar"/>
    <w:qFormat/>
    <w:rsid w:val="00886711"/>
    <w:pPr>
      <w:spacing w:after="160"/>
    </w:pPr>
    <w:rPr>
      <w:i/>
      <w:sz w:val="16"/>
      <w:szCs w:val="16"/>
    </w:rPr>
  </w:style>
  <w:style w:type="character" w:customStyle="1" w:styleId="FigureheadingChar">
    <w:name w:val="Figure heading Char"/>
    <w:link w:val="Figureheading"/>
    <w:rsid w:val="00886711"/>
    <w:rPr>
      <w:rFonts w:cs="CenturyGothic-Bold"/>
      <w:bCs/>
      <w:noProof/>
      <w:color w:val="00008F"/>
      <w:sz w:val="24"/>
      <w:szCs w:val="24"/>
      <w:lang w:eastAsia="en-US"/>
    </w:rPr>
  </w:style>
  <w:style w:type="paragraph" w:customStyle="1" w:styleId="Subheading">
    <w:name w:val="Subheading"/>
    <w:basedOn w:val="Byline"/>
    <w:link w:val="SubheadingChar"/>
    <w:qFormat/>
    <w:rsid w:val="00886711"/>
    <w:pPr>
      <w:spacing w:before="120" w:after="120"/>
    </w:pPr>
    <w:rPr>
      <w:color w:val="000000"/>
    </w:rPr>
  </w:style>
  <w:style w:type="character" w:customStyle="1" w:styleId="SourceChar">
    <w:name w:val="Source Char"/>
    <w:link w:val="Source"/>
    <w:rsid w:val="00886711"/>
    <w:rPr>
      <w:rFonts w:ascii="Calibri Light" w:hAnsi="Calibri Light" w:cs="CenturyGothic-Bold"/>
      <w:bCs/>
      <w:i/>
      <w:sz w:val="16"/>
      <w:szCs w:val="16"/>
      <w:lang w:eastAsia="en-US"/>
    </w:rPr>
  </w:style>
  <w:style w:type="table" w:styleId="Grilledutableau">
    <w:name w:val="Table Grid"/>
    <w:basedOn w:val="Grilledetableauclaire"/>
    <w:uiPriority w:val="39"/>
    <w:rsid w:val="003A765E"/>
    <w:tblPr>
      <w:tblBorders>
        <w:top w:val="single" w:sz="4" w:space="0" w:color="00008F"/>
        <w:left w:val="none" w:sz="0" w:space="0" w:color="auto"/>
        <w:bottom w:val="single" w:sz="4" w:space="0" w:color="00008F"/>
        <w:right w:val="none" w:sz="0" w:space="0" w:color="auto"/>
        <w:insideH w:val="single" w:sz="4" w:space="0" w:color="00008F"/>
        <w:insideV w:val="none" w:sz="0" w:space="0" w:color="auto"/>
      </w:tblBorders>
      <w:tblCellMar>
        <w:left w:w="0" w:type="dxa"/>
        <w:right w:w="0" w:type="dxa"/>
      </w:tblCellMar>
    </w:tblPr>
    <w:tblStylePr w:type="firstRow">
      <w:rPr>
        <w:rFonts w:ascii="Calibri" w:hAnsi="Calibri"/>
        <w:b/>
        <w:color w:val="00008F"/>
      </w:rPr>
    </w:tblStylePr>
  </w:style>
  <w:style w:type="character" w:customStyle="1" w:styleId="SubheadingChar">
    <w:name w:val="Subheading Char"/>
    <w:link w:val="Subheading"/>
    <w:rsid w:val="00886711"/>
    <w:rPr>
      <w:rFonts w:cs="CenturyGothic-Bold"/>
      <w:b/>
      <w:bCs/>
      <w:noProof/>
      <w:color w:val="000000"/>
      <w:sz w:val="24"/>
      <w:szCs w:val="24"/>
      <w:lang w:eastAsia="en-US"/>
    </w:rPr>
  </w:style>
  <w:style w:type="table" w:styleId="TableauGrille2-Accentuation1">
    <w:name w:val="Grid Table 2 Accent 1"/>
    <w:basedOn w:val="TableauNormal"/>
    <w:uiPriority w:val="47"/>
    <w:rsid w:val="0088671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Liste2-Accentuation1">
    <w:name w:val="List Table 2 Accent 1"/>
    <w:basedOn w:val="TableauNormal"/>
    <w:uiPriority w:val="47"/>
    <w:rsid w:val="00886711"/>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heading">
    <w:name w:val="Table heading"/>
    <w:basedOn w:val="Normal"/>
    <w:link w:val="TableheadingChar"/>
    <w:qFormat/>
    <w:rsid w:val="009D7012"/>
    <w:rPr>
      <w:b/>
      <w:bCs w:val="0"/>
      <w:color w:val="00008F"/>
    </w:rPr>
  </w:style>
  <w:style w:type="table" w:customStyle="1" w:styleId="AXA">
    <w:name w:val="AXA"/>
    <w:basedOn w:val="TableauNormal"/>
    <w:uiPriority w:val="99"/>
    <w:rsid w:val="00CB5C57"/>
    <w:tblPr/>
  </w:style>
  <w:style w:type="character" w:customStyle="1" w:styleId="TableheadingChar">
    <w:name w:val="Table heading Char"/>
    <w:link w:val="Tableheading"/>
    <w:rsid w:val="009D7012"/>
    <w:rPr>
      <w:rFonts w:ascii="Calibri Light" w:hAnsi="Calibri Light" w:cs="CenturyGothic-Bold"/>
      <w:b/>
      <w:color w:val="00008F"/>
      <w:lang w:eastAsia="en-US"/>
    </w:rPr>
  </w:style>
  <w:style w:type="paragraph" w:customStyle="1" w:styleId="Disclaimer">
    <w:name w:val="Disclaimer"/>
    <w:basedOn w:val="Normal"/>
    <w:link w:val="DisclaimerChar"/>
    <w:qFormat/>
    <w:rsid w:val="008A6F0E"/>
    <w:pPr>
      <w:jc w:val="both"/>
    </w:pPr>
    <w:rPr>
      <w:color w:val="808080"/>
      <w:sz w:val="16"/>
      <w:szCs w:val="16"/>
    </w:rPr>
  </w:style>
  <w:style w:type="table" w:styleId="Grilledetableauclaire">
    <w:name w:val="Grid Table Light"/>
    <w:basedOn w:val="TableauNormal"/>
    <w:uiPriority w:val="40"/>
    <w:rsid w:val="00CB5C5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aragraphedeliste">
    <w:name w:val="List Paragraph"/>
    <w:basedOn w:val="Normal"/>
    <w:uiPriority w:val="34"/>
    <w:qFormat/>
    <w:rsid w:val="008A6F0E"/>
    <w:pPr>
      <w:numPr>
        <w:numId w:val="1"/>
      </w:numPr>
    </w:pPr>
  </w:style>
  <w:style w:type="character" w:customStyle="1" w:styleId="DisclaimerChar">
    <w:name w:val="Disclaimer Char"/>
    <w:link w:val="Disclaimer"/>
    <w:rsid w:val="008A6F0E"/>
    <w:rPr>
      <w:rFonts w:ascii="Calibri Light" w:hAnsi="Calibri Light" w:cs="CenturyGothic-Bold"/>
      <w:bCs/>
      <w:color w:val="808080"/>
      <w:sz w:val="16"/>
      <w:szCs w:val="16"/>
      <w:lang w:eastAsia="en-U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link w:val="Commentaire"/>
    <w:uiPriority w:val="99"/>
    <w:semiHidden/>
    <w:rsid w:val="0057790A"/>
    <w:rPr>
      <w:rFonts w:ascii="Calibri Light" w:hAnsi="Calibri Light" w:cs="CenturyGothic-Bold"/>
      <w:bCs/>
      <w:lang w:eastAsia="en-US"/>
    </w:rPr>
  </w:style>
  <w:style w:type="paragraph" w:styleId="Objetducommentaire">
    <w:name w:val="annotation subject"/>
    <w:basedOn w:val="Commentaire"/>
    <w:next w:val="Commentaire"/>
    <w:link w:val="ObjetducommentaireCar"/>
    <w:uiPriority w:val="99"/>
    <w:semiHidden/>
    <w:unhideWhenUsed/>
    <w:rsid w:val="0057790A"/>
    <w:rPr>
      <w:b/>
    </w:rPr>
  </w:style>
  <w:style w:type="character" w:customStyle="1" w:styleId="ObjetducommentaireCar">
    <w:name w:val="Objet du commentaire Car"/>
    <w:link w:val="Objetducommentaire"/>
    <w:uiPriority w:val="99"/>
    <w:semiHidden/>
    <w:rsid w:val="0057790A"/>
    <w:rPr>
      <w:rFonts w:ascii="Calibri Light" w:hAnsi="Calibri Light" w:cs="CenturyGothic-Bold"/>
      <w:b/>
      <w:bCs/>
      <w:lang w:eastAsia="en-US"/>
    </w:rPr>
  </w:style>
  <w:style w:type="paragraph" w:styleId="Textedebulles">
    <w:name w:val="Balloon Text"/>
    <w:basedOn w:val="Normal"/>
    <w:link w:val="TextedebullesCar"/>
    <w:uiPriority w:val="99"/>
    <w:semiHidden/>
    <w:unhideWhenUsed/>
    <w:rsid w:val="0057790A"/>
    <w:rPr>
      <w:rFonts w:ascii="Segoe UI" w:hAnsi="Segoe UI" w:cs="Segoe UI"/>
      <w:sz w:val="18"/>
      <w:szCs w:val="18"/>
    </w:rPr>
  </w:style>
  <w:style w:type="character" w:customStyle="1" w:styleId="TextedebullesCar">
    <w:name w:val="Texte de bulles Car"/>
    <w:link w:val="Textedebulles"/>
    <w:uiPriority w:val="99"/>
    <w:semiHidden/>
    <w:rsid w:val="0057790A"/>
    <w:rPr>
      <w:rFonts w:ascii="Segoe UI" w:hAnsi="Segoe UI" w:cs="Segoe UI"/>
      <w:bCs/>
      <w:sz w:val="18"/>
      <w:szCs w:val="18"/>
      <w:lang w:eastAsia="en-US"/>
    </w:rPr>
  </w:style>
  <w:style w:type="paragraph" w:customStyle="1" w:styleId="Compliance">
    <w:name w:val="Compliance"/>
    <w:basedOn w:val="Identifier"/>
    <w:link w:val="ComplianceChar"/>
    <w:qFormat/>
    <w:rsid w:val="00FF02BD"/>
    <w:pPr>
      <w:spacing w:after="480"/>
      <w:ind w:left="0"/>
      <w:jc w:val="left"/>
    </w:pPr>
    <w:rPr>
      <w:sz w:val="16"/>
      <w:szCs w:val="16"/>
    </w:rPr>
  </w:style>
  <w:style w:type="character" w:customStyle="1" w:styleId="ComplianceChar">
    <w:name w:val="Compliance Char"/>
    <w:basedOn w:val="IdentifierChar"/>
    <w:link w:val="Compliance"/>
    <w:rsid w:val="00FF02BD"/>
    <w:rPr>
      <w:rFonts w:ascii="Calibri Light" w:hAnsi="Calibri Light" w:cs="CenturyGothic-Bold"/>
      <w:bCs/>
      <w:color w:val="000000"/>
      <w:sz w:val="16"/>
      <w:szCs w:val="16"/>
      <w:lang w:eastAsia="en-US"/>
    </w:rPr>
  </w:style>
  <w:style w:type="character" w:styleId="Lienhypertexte">
    <w:name w:val="Hyperlink"/>
    <w:basedOn w:val="Policepardfaut"/>
    <w:uiPriority w:val="99"/>
    <w:unhideWhenUsed/>
    <w:rsid w:val="00374A0B"/>
    <w:rPr>
      <w:color w:val="FFFFFF" w:themeColor="hyperlink"/>
      <w:u w:val="single"/>
    </w:rPr>
  </w:style>
  <w:style w:type="character" w:customStyle="1" w:styleId="Mentionnonrsolue1">
    <w:name w:val="Mention non résolue1"/>
    <w:basedOn w:val="Policepardfaut"/>
    <w:uiPriority w:val="99"/>
    <w:rsid w:val="00374A0B"/>
    <w:rPr>
      <w:color w:val="605E5C"/>
      <w:shd w:val="clear" w:color="auto" w:fill="E1DFDD"/>
    </w:rPr>
  </w:style>
  <w:style w:type="paragraph" w:styleId="Notedebasdepage">
    <w:name w:val="footnote text"/>
    <w:basedOn w:val="Normal"/>
    <w:link w:val="NotedebasdepageCar"/>
    <w:uiPriority w:val="99"/>
    <w:unhideWhenUsed/>
    <w:rsid w:val="003C4BBB"/>
    <w:pPr>
      <w:autoSpaceDE/>
      <w:autoSpaceDN/>
      <w:adjustRightInd/>
    </w:pPr>
    <w:rPr>
      <w:rFonts w:asciiTheme="minorHAnsi" w:eastAsiaTheme="minorHAnsi" w:hAnsiTheme="minorHAnsi" w:cstheme="minorBidi"/>
      <w:bCs w:val="0"/>
    </w:rPr>
  </w:style>
  <w:style w:type="character" w:customStyle="1" w:styleId="NotedebasdepageCar">
    <w:name w:val="Note de bas de page Car"/>
    <w:basedOn w:val="Policepardfaut"/>
    <w:link w:val="Notedebasdepage"/>
    <w:uiPriority w:val="99"/>
    <w:rsid w:val="003C4BBB"/>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3C4BBB"/>
    <w:rPr>
      <w:vertAlign w:val="superscript"/>
    </w:rPr>
  </w:style>
  <w:style w:type="paragraph" w:styleId="NormalWeb">
    <w:name w:val="Normal (Web)"/>
    <w:basedOn w:val="Normal"/>
    <w:uiPriority w:val="99"/>
    <w:unhideWhenUsed/>
    <w:rsid w:val="00D37861"/>
    <w:pPr>
      <w:autoSpaceDE/>
      <w:autoSpaceDN/>
      <w:adjustRightInd/>
      <w:spacing w:before="100" w:beforeAutospacing="1" w:after="100" w:afterAutospacing="1"/>
    </w:pPr>
    <w:rPr>
      <w:rFonts w:ascii="Times New Roman" w:eastAsia="Times New Roman" w:hAnsi="Times New Roman" w:cs="Times New Roman"/>
      <w:bCs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axa-im.com/responsible-investing/framework-and-scoring-methodolog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b="1" i="0" baseline="0">
                <a:effectLst/>
                <a:latin typeface="Arial" panose="020B0604020202020204" pitchFamily="34" charset="0"/>
                <a:cs typeface="Arial" panose="020B0604020202020204" pitchFamily="34" charset="0"/>
              </a:rPr>
              <a:t>Performance des actions internationales au 1</a:t>
            </a:r>
            <a:r>
              <a:rPr lang="en-GB" sz="1200" b="1" i="0" baseline="30000">
                <a:effectLst/>
                <a:latin typeface="Arial" panose="020B0604020202020204" pitchFamily="34" charset="0"/>
                <a:cs typeface="Arial" panose="020B0604020202020204" pitchFamily="34" charset="0"/>
              </a:rPr>
              <a:t>er</a:t>
            </a:r>
            <a:r>
              <a:rPr lang="en-GB" sz="1200" b="1" i="0" baseline="0">
                <a:effectLst/>
                <a:latin typeface="Arial" panose="020B0604020202020204" pitchFamily="34" charset="0"/>
                <a:cs typeface="Arial" panose="020B0604020202020204" pitchFamily="34" charset="0"/>
              </a:rPr>
              <a:t> trimestre 2020 : </a:t>
            </a:r>
          </a:p>
          <a:p>
            <a:pPr algn="ctr">
              <a:defRPr sz="1200" b="1">
                <a:latin typeface="Arial" panose="020B0604020202020204" pitchFamily="34" charset="0"/>
                <a:cs typeface="Arial" panose="020B0604020202020204" pitchFamily="34" charset="0"/>
              </a:defRPr>
            </a:pPr>
            <a:r>
              <a:rPr lang="en-GB" sz="1200" b="1" i="0" baseline="0">
                <a:effectLst/>
                <a:latin typeface="Arial" panose="020B0604020202020204" pitchFamily="34" charset="0"/>
                <a:cs typeface="Arial" panose="020B0604020202020204" pitchFamily="34" charset="0"/>
              </a:rPr>
              <a:t>"Leaders ESG" et "Retardataires ESG"</a:t>
            </a:r>
            <a:endParaRPr lang="en-US" sz="1200">
              <a:effectLst/>
              <a:latin typeface="Arial" panose="020B0604020202020204" pitchFamily="34" charset="0"/>
              <a:cs typeface="Arial" panose="020B0604020202020204" pitchFamily="34" charset="0"/>
            </a:endParaRPr>
          </a:p>
        </c:rich>
      </c:tx>
      <c:layout>
        <c:manualLayout>
          <c:xMode val="edge"/>
          <c:yMode val="edge"/>
          <c:x val="0.1816295574642833"/>
          <c:y val="1.7785682525566917E-2"/>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autoTitleDeleted val="0"/>
    <c:plotArea>
      <c:layout>
        <c:manualLayout>
          <c:layoutTarget val="inner"/>
          <c:xMode val="edge"/>
          <c:yMode val="edge"/>
          <c:x val="8.3633061817342161E-2"/>
          <c:y val="0.1848475087790549"/>
          <c:w val="0.88473584742784217"/>
          <c:h val="0.63263742765813669"/>
        </c:manualLayout>
      </c:layout>
      <c:lineChart>
        <c:grouping val="standard"/>
        <c:varyColors val="0"/>
        <c:ser>
          <c:idx val="2"/>
          <c:order val="0"/>
          <c:tx>
            <c:strRef>
              <c:f>'MSCI ACWI'!$D$5</c:f>
              <c:strCache>
                <c:ptCount val="1"/>
                <c:pt idx="0">
                  <c:v>Leaders ESG</c:v>
                </c:pt>
              </c:strCache>
            </c:strRef>
          </c:tx>
          <c:spPr>
            <a:ln w="28575" cap="rnd">
              <a:solidFill>
                <a:schemeClr val="accent3"/>
              </a:solidFill>
              <a:round/>
            </a:ln>
            <a:effectLst/>
          </c:spPr>
          <c:marker>
            <c:symbol val="none"/>
          </c:marker>
          <c:cat>
            <c:numRef>
              <c:f>'MSCI ACWI'!$A$6:$A$71</c:f>
              <c:numCache>
                <c:formatCode>m/d/yyyy</c:formatCode>
                <c:ptCount val="66"/>
                <c:pt idx="0">
                  <c:v>43830</c:v>
                </c:pt>
                <c:pt idx="1">
                  <c:v>43831</c:v>
                </c:pt>
                <c:pt idx="2">
                  <c:v>43832</c:v>
                </c:pt>
                <c:pt idx="3">
                  <c:v>43833</c:v>
                </c:pt>
                <c:pt idx="4">
                  <c:v>43836</c:v>
                </c:pt>
                <c:pt idx="5">
                  <c:v>43837</c:v>
                </c:pt>
                <c:pt idx="6">
                  <c:v>43838</c:v>
                </c:pt>
                <c:pt idx="7">
                  <c:v>43839</c:v>
                </c:pt>
                <c:pt idx="8">
                  <c:v>43840</c:v>
                </c:pt>
                <c:pt idx="9">
                  <c:v>43843</c:v>
                </c:pt>
                <c:pt idx="10">
                  <c:v>43844</c:v>
                </c:pt>
                <c:pt idx="11">
                  <c:v>43845</c:v>
                </c:pt>
                <c:pt idx="12">
                  <c:v>43846</c:v>
                </c:pt>
                <c:pt idx="13">
                  <c:v>43847</c:v>
                </c:pt>
                <c:pt idx="14">
                  <c:v>43850</c:v>
                </c:pt>
                <c:pt idx="15">
                  <c:v>43851</c:v>
                </c:pt>
                <c:pt idx="16">
                  <c:v>43852</c:v>
                </c:pt>
                <c:pt idx="17">
                  <c:v>43853</c:v>
                </c:pt>
                <c:pt idx="18">
                  <c:v>43854</c:v>
                </c:pt>
                <c:pt idx="19">
                  <c:v>43857</c:v>
                </c:pt>
                <c:pt idx="20">
                  <c:v>43858</c:v>
                </c:pt>
                <c:pt idx="21">
                  <c:v>43859</c:v>
                </c:pt>
                <c:pt idx="22">
                  <c:v>43860</c:v>
                </c:pt>
                <c:pt idx="23">
                  <c:v>43861</c:v>
                </c:pt>
                <c:pt idx="24">
                  <c:v>43864</c:v>
                </c:pt>
                <c:pt idx="25">
                  <c:v>43865</c:v>
                </c:pt>
                <c:pt idx="26">
                  <c:v>43866</c:v>
                </c:pt>
                <c:pt idx="27">
                  <c:v>43867</c:v>
                </c:pt>
                <c:pt idx="28">
                  <c:v>43868</c:v>
                </c:pt>
                <c:pt idx="29">
                  <c:v>43871</c:v>
                </c:pt>
                <c:pt idx="30">
                  <c:v>43872</c:v>
                </c:pt>
                <c:pt idx="31">
                  <c:v>43873</c:v>
                </c:pt>
                <c:pt idx="32">
                  <c:v>43874</c:v>
                </c:pt>
                <c:pt idx="33">
                  <c:v>43875</c:v>
                </c:pt>
                <c:pt idx="34">
                  <c:v>43878</c:v>
                </c:pt>
                <c:pt idx="35">
                  <c:v>43879</c:v>
                </c:pt>
                <c:pt idx="36">
                  <c:v>43880</c:v>
                </c:pt>
                <c:pt idx="37">
                  <c:v>43881</c:v>
                </c:pt>
                <c:pt idx="38">
                  <c:v>43882</c:v>
                </c:pt>
                <c:pt idx="39">
                  <c:v>43885</c:v>
                </c:pt>
                <c:pt idx="40">
                  <c:v>43886</c:v>
                </c:pt>
                <c:pt idx="41">
                  <c:v>43887</c:v>
                </c:pt>
                <c:pt idx="42">
                  <c:v>43888</c:v>
                </c:pt>
                <c:pt idx="43">
                  <c:v>43889</c:v>
                </c:pt>
                <c:pt idx="44">
                  <c:v>43892</c:v>
                </c:pt>
                <c:pt idx="45">
                  <c:v>43893</c:v>
                </c:pt>
                <c:pt idx="46">
                  <c:v>43894</c:v>
                </c:pt>
                <c:pt idx="47">
                  <c:v>43895</c:v>
                </c:pt>
                <c:pt idx="48">
                  <c:v>43896</c:v>
                </c:pt>
                <c:pt idx="49">
                  <c:v>43899</c:v>
                </c:pt>
                <c:pt idx="50">
                  <c:v>43900</c:v>
                </c:pt>
                <c:pt idx="51">
                  <c:v>43901</c:v>
                </c:pt>
                <c:pt idx="52">
                  <c:v>43902</c:v>
                </c:pt>
                <c:pt idx="53">
                  <c:v>43903</c:v>
                </c:pt>
                <c:pt idx="54">
                  <c:v>43906</c:v>
                </c:pt>
                <c:pt idx="55">
                  <c:v>43907</c:v>
                </c:pt>
                <c:pt idx="56">
                  <c:v>43908</c:v>
                </c:pt>
                <c:pt idx="57">
                  <c:v>43909</c:v>
                </c:pt>
                <c:pt idx="58">
                  <c:v>43910</c:v>
                </c:pt>
                <c:pt idx="59">
                  <c:v>43913</c:v>
                </c:pt>
                <c:pt idx="60">
                  <c:v>43914</c:v>
                </c:pt>
                <c:pt idx="61">
                  <c:v>43915</c:v>
                </c:pt>
                <c:pt idx="62">
                  <c:v>43916</c:v>
                </c:pt>
                <c:pt idx="63">
                  <c:v>43917</c:v>
                </c:pt>
                <c:pt idx="64">
                  <c:v>43920</c:v>
                </c:pt>
                <c:pt idx="65">
                  <c:v>43921</c:v>
                </c:pt>
              </c:numCache>
            </c:numRef>
          </c:cat>
          <c:val>
            <c:numRef>
              <c:f>'MSCI ACWI'!$D$6:$D$71</c:f>
              <c:numCache>
                <c:formatCode>0.0%</c:formatCode>
                <c:ptCount val="66"/>
                <c:pt idx="0">
                  <c:v>0</c:v>
                </c:pt>
                <c:pt idx="1">
                  <c:v>0</c:v>
                </c:pt>
                <c:pt idx="2">
                  <c:v>8.8999999999999999E-3</c:v>
                </c:pt>
                <c:pt idx="3">
                  <c:v>5.7999999999999996E-3</c:v>
                </c:pt>
                <c:pt idx="4">
                  <c:v>2.5999999999999999E-3</c:v>
                </c:pt>
                <c:pt idx="5">
                  <c:v>3.2000000000000002E-3</c:v>
                </c:pt>
                <c:pt idx="6">
                  <c:v>9.7000000000000003E-3</c:v>
                </c:pt>
                <c:pt idx="7">
                  <c:v>1.8499999999999999E-2</c:v>
                </c:pt>
                <c:pt idx="8">
                  <c:v>1.7500000000000002E-2</c:v>
                </c:pt>
                <c:pt idx="9">
                  <c:v>2.1700000000000001E-2</c:v>
                </c:pt>
                <c:pt idx="10">
                  <c:v>2.1499999999999998E-2</c:v>
                </c:pt>
                <c:pt idx="11">
                  <c:v>2.2100000000000002E-2</c:v>
                </c:pt>
                <c:pt idx="12">
                  <c:v>2.9899999999999999E-2</c:v>
                </c:pt>
                <c:pt idx="13">
                  <c:v>3.9199999999999999E-2</c:v>
                </c:pt>
                <c:pt idx="14">
                  <c:v>4.0599999999999997E-2</c:v>
                </c:pt>
                <c:pt idx="15">
                  <c:v>3.7900000000000003E-2</c:v>
                </c:pt>
                <c:pt idx="16">
                  <c:v>4.3400000000000001E-2</c:v>
                </c:pt>
                <c:pt idx="17">
                  <c:v>4.6899999999999997E-2</c:v>
                </c:pt>
                <c:pt idx="18">
                  <c:v>4.8899999999999999E-2</c:v>
                </c:pt>
                <c:pt idx="19">
                  <c:v>3.4500000000000003E-2</c:v>
                </c:pt>
                <c:pt idx="20">
                  <c:v>4.3200000000000002E-2</c:v>
                </c:pt>
                <c:pt idx="21">
                  <c:v>4.4499999999999998E-2</c:v>
                </c:pt>
                <c:pt idx="22">
                  <c:v>4.3200000000000002E-2</c:v>
                </c:pt>
                <c:pt idx="23">
                  <c:v>2.4400000000000002E-2</c:v>
                </c:pt>
                <c:pt idx="24">
                  <c:v>3.4500000000000003E-2</c:v>
                </c:pt>
                <c:pt idx="25">
                  <c:v>5.21E-2</c:v>
                </c:pt>
                <c:pt idx="26">
                  <c:v>6.5299999999999997E-2</c:v>
                </c:pt>
                <c:pt idx="27">
                  <c:v>7.4200000000000002E-2</c:v>
                </c:pt>
                <c:pt idx="28">
                  <c:v>6.9500000000000006E-2</c:v>
                </c:pt>
                <c:pt idx="29">
                  <c:v>8.0699999999999994E-2</c:v>
                </c:pt>
                <c:pt idx="30">
                  <c:v>8.2299999999999998E-2</c:v>
                </c:pt>
                <c:pt idx="31">
                  <c:v>8.8599999999999998E-2</c:v>
                </c:pt>
                <c:pt idx="32">
                  <c:v>9.1200000000000003E-2</c:v>
                </c:pt>
                <c:pt idx="33">
                  <c:v>9.7100000000000006E-2</c:v>
                </c:pt>
                <c:pt idx="34">
                  <c:v>9.8699999999999996E-2</c:v>
                </c:pt>
                <c:pt idx="35">
                  <c:v>9.69E-2</c:v>
                </c:pt>
                <c:pt idx="36">
                  <c:v>0.10489999999999999</c:v>
                </c:pt>
                <c:pt idx="37">
                  <c:v>9.6500000000000002E-2</c:v>
                </c:pt>
                <c:pt idx="38">
                  <c:v>8.1600000000000006E-2</c:v>
                </c:pt>
                <c:pt idx="39">
                  <c:v>4.8599999999999997E-2</c:v>
                </c:pt>
                <c:pt idx="40">
                  <c:v>2.41E-2</c:v>
                </c:pt>
                <c:pt idx="41">
                  <c:v>2.1700000000000001E-2</c:v>
                </c:pt>
                <c:pt idx="42">
                  <c:v>-2.9700000000000001E-2</c:v>
                </c:pt>
                <c:pt idx="43">
                  <c:v>-4.3799999999999999E-2</c:v>
                </c:pt>
                <c:pt idx="44">
                  <c:v>-2.06E-2</c:v>
                </c:pt>
                <c:pt idx="45">
                  <c:v>-0.04</c:v>
                </c:pt>
                <c:pt idx="46">
                  <c:v>-5.0000000000000001E-3</c:v>
                </c:pt>
                <c:pt idx="47">
                  <c:v>-2.98E-2</c:v>
                </c:pt>
                <c:pt idx="48">
                  <c:v>-5.7799999999999997E-2</c:v>
                </c:pt>
                <c:pt idx="49">
                  <c:v>-0.128</c:v>
                </c:pt>
                <c:pt idx="50">
                  <c:v>-9.6699999999999994E-2</c:v>
                </c:pt>
                <c:pt idx="51">
                  <c:v>-0.1265</c:v>
                </c:pt>
                <c:pt idx="52">
                  <c:v>-0.19850000000000001</c:v>
                </c:pt>
                <c:pt idx="53">
                  <c:v>-0.1396</c:v>
                </c:pt>
                <c:pt idx="54">
                  <c:v>-0.23400000000000001</c:v>
                </c:pt>
                <c:pt idx="55">
                  <c:v>-0.18129999999999999</c:v>
                </c:pt>
                <c:pt idx="56">
                  <c:v>-0.21049999999999999</c:v>
                </c:pt>
                <c:pt idx="57">
                  <c:v>-0.2024</c:v>
                </c:pt>
                <c:pt idx="58">
                  <c:v>-0.221</c:v>
                </c:pt>
                <c:pt idx="59">
                  <c:v>-0.25230000000000002</c:v>
                </c:pt>
                <c:pt idx="60">
                  <c:v>-0.1835</c:v>
                </c:pt>
                <c:pt idx="61">
                  <c:v>-0.17169999999999999</c:v>
                </c:pt>
                <c:pt idx="62">
                  <c:v>-0.14099999999999999</c:v>
                </c:pt>
                <c:pt idx="63">
                  <c:v>-0.1658</c:v>
                </c:pt>
                <c:pt idx="64">
                  <c:v>-0.13739999999999999</c:v>
                </c:pt>
                <c:pt idx="65">
                  <c:v>-0.14460000000000001</c:v>
                </c:pt>
              </c:numCache>
            </c:numRef>
          </c:val>
          <c:smooth val="0"/>
          <c:extLst>
            <c:ext xmlns:c16="http://schemas.microsoft.com/office/drawing/2014/chart" uri="{C3380CC4-5D6E-409C-BE32-E72D297353CC}">
              <c16:uniqueId val="{00000000-2F97-476A-BC4B-AB35703CF893}"/>
            </c:ext>
          </c:extLst>
        </c:ser>
        <c:ser>
          <c:idx val="1"/>
          <c:order val="1"/>
          <c:tx>
            <c:strRef>
              <c:f>'MSCI ACWI'!$C$5</c:f>
              <c:strCache>
                <c:ptCount val="1"/>
                <c:pt idx="0">
                  <c:v>Retardataires ESG</c:v>
                </c:pt>
              </c:strCache>
            </c:strRef>
          </c:tx>
          <c:spPr>
            <a:ln w="28575" cap="rnd">
              <a:solidFill>
                <a:schemeClr val="accent2"/>
              </a:solidFill>
              <a:round/>
            </a:ln>
            <a:effectLst/>
          </c:spPr>
          <c:marker>
            <c:symbol val="none"/>
          </c:marker>
          <c:cat>
            <c:numRef>
              <c:f>'MSCI ACWI'!$A$6:$A$71</c:f>
              <c:numCache>
                <c:formatCode>m/d/yyyy</c:formatCode>
                <c:ptCount val="66"/>
                <c:pt idx="0">
                  <c:v>43830</c:v>
                </c:pt>
                <c:pt idx="1">
                  <c:v>43831</c:v>
                </c:pt>
                <c:pt idx="2">
                  <c:v>43832</c:v>
                </c:pt>
                <c:pt idx="3">
                  <c:v>43833</c:v>
                </c:pt>
                <c:pt idx="4">
                  <c:v>43836</c:v>
                </c:pt>
                <c:pt idx="5">
                  <c:v>43837</c:v>
                </c:pt>
                <c:pt idx="6">
                  <c:v>43838</c:v>
                </c:pt>
                <c:pt idx="7">
                  <c:v>43839</c:v>
                </c:pt>
                <c:pt idx="8">
                  <c:v>43840</c:v>
                </c:pt>
                <c:pt idx="9">
                  <c:v>43843</c:v>
                </c:pt>
                <c:pt idx="10">
                  <c:v>43844</c:v>
                </c:pt>
                <c:pt idx="11">
                  <c:v>43845</c:v>
                </c:pt>
                <c:pt idx="12">
                  <c:v>43846</c:v>
                </c:pt>
                <c:pt idx="13">
                  <c:v>43847</c:v>
                </c:pt>
                <c:pt idx="14">
                  <c:v>43850</c:v>
                </c:pt>
                <c:pt idx="15">
                  <c:v>43851</c:v>
                </c:pt>
                <c:pt idx="16">
                  <c:v>43852</c:v>
                </c:pt>
                <c:pt idx="17">
                  <c:v>43853</c:v>
                </c:pt>
                <c:pt idx="18">
                  <c:v>43854</c:v>
                </c:pt>
                <c:pt idx="19">
                  <c:v>43857</c:v>
                </c:pt>
                <c:pt idx="20">
                  <c:v>43858</c:v>
                </c:pt>
                <c:pt idx="21">
                  <c:v>43859</c:v>
                </c:pt>
                <c:pt idx="22">
                  <c:v>43860</c:v>
                </c:pt>
                <c:pt idx="23">
                  <c:v>43861</c:v>
                </c:pt>
                <c:pt idx="24">
                  <c:v>43864</c:v>
                </c:pt>
                <c:pt idx="25">
                  <c:v>43865</c:v>
                </c:pt>
                <c:pt idx="26">
                  <c:v>43866</c:v>
                </c:pt>
                <c:pt idx="27">
                  <c:v>43867</c:v>
                </c:pt>
                <c:pt idx="28">
                  <c:v>43868</c:v>
                </c:pt>
                <c:pt idx="29">
                  <c:v>43871</c:v>
                </c:pt>
                <c:pt idx="30">
                  <c:v>43872</c:v>
                </c:pt>
                <c:pt idx="31">
                  <c:v>43873</c:v>
                </c:pt>
                <c:pt idx="32">
                  <c:v>43874</c:v>
                </c:pt>
                <c:pt idx="33">
                  <c:v>43875</c:v>
                </c:pt>
                <c:pt idx="34">
                  <c:v>43878</c:v>
                </c:pt>
                <c:pt idx="35">
                  <c:v>43879</c:v>
                </c:pt>
                <c:pt idx="36">
                  <c:v>43880</c:v>
                </c:pt>
                <c:pt idx="37">
                  <c:v>43881</c:v>
                </c:pt>
                <c:pt idx="38">
                  <c:v>43882</c:v>
                </c:pt>
                <c:pt idx="39">
                  <c:v>43885</c:v>
                </c:pt>
                <c:pt idx="40">
                  <c:v>43886</c:v>
                </c:pt>
                <c:pt idx="41">
                  <c:v>43887</c:v>
                </c:pt>
                <c:pt idx="42">
                  <c:v>43888</c:v>
                </c:pt>
                <c:pt idx="43">
                  <c:v>43889</c:v>
                </c:pt>
                <c:pt idx="44">
                  <c:v>43892</c:v>
                </c:pt>
                <c:pt idx="45">
                  <c:v>43893</c:v>
                </c:pt>
                <c:pt idx="46">
                  <c:v>43894</c:v>
                </c:pt>
                <c:pt idx="47">
                  <c:v>43895</c:v>
                </c:pt>
                <c:pt idx="48">
                  <c:v>43896</c:v>
                </c:pt>
                <c:pt idx="49">
                  <c:v>43899</c:v>
                </c:pt>
                <c:pt idx="50">
                  <c:v>43900</c:v>
                </c:pt>
                <c:pt idx="51">
                  <c:v>43901</c:v>
                </c:pt>
                <c:pt idx="52">
                  <c:v>43902</c:v>
                </c:pt>
                <c:pt idx="53">
                  <c:v>43903</c:v>
                </c:pt>
                <c:pt idx="54">
                  <c:v>43906</c:v>
                </c:pt>
                <c:pt idx="55">
                  <c:v>43907</c:v>
                </c:pt>
                <c:pt idx="56">
                  <c:v>43908</c:v>
                </c:pt>
                <c:pt idx="57">
                  <c:v>43909</c:v>
                </c:pt>
                <c:pt idx="58">
                  <c:v>43910</c:v>
                </c:pt>
                <c:pt idx="59">
                  <c:v>43913</c:v>
                </c:pt>
                <c:pt idx="60">
                  <c:v>43914</c:v>
                </c:pt>
                <c:pt idx="61">
                  <c:v>43915</c:v>
                </c:pt>
                <c:pt idx="62">
                  <c:v>43916</c:v>
                </c:pt>
                <c:pt idx="63">
                  <c:v>43917</c:v>
                </c:pt>
                <c:pt idx="64">
                  <c:v>43920</c:v>
                </c:pt>
                <c:pt idx="65">
                  <c:v>43921</c:v>
                </c:pt>
              </c:numCache>
            </c:numRef>
          </c:cat>
          <c:val>
            <c:numRef>
              <c:f>'MSCI ACWI'!$C$6:$C$71</c:f>
              <c:numCache>
                <c:formatCode>0.0%</c:formatCode>
                <c:ptCount val="66"/>
                <c:pt idx="0">
                  <c:v>0</c:v>
                </c:pt>
                <c:pt idx="1">
                  <c:v>0</c:v>
                </c:pt>
                <c:pt idx="2">
                  <c:v>1.0200000000000001E-2</c:v>
                </c:pt>
                <c:pt idx="3">
                  <c:v>1.0200000000000001E-2</c:v>
                </c:pt>
                <c:pt idx="4">
                  <c:v>1.5E-3</c:v>
                </c:pt>
                <c:pt idx="5">
                  <c:v>7.1000000000000004E-3</c:v>
                </c:pt>
                <c:pt idx="6">
                  <c:v>5.7000000000000002E-3</c:v>
                </c:pt>
                <c:pt idx="7">
                  <c:v>9.1000000000000004E-3</c:v>
                </c:pt>
                <c:pt idx="8">
                  <c:v>1.06E-2</c:v>
                </c:pt>
                <c:pt idx="9">
                  <c:v>9.7000000000000003E-3</c:v>
                </c:pt>
                <c:pt idx="10">
                  <c:v>1.2999999999999999E-3</c:v>
                </c:pt>
                <c:pt idx="11">
                  <c:v>-7.7000000000000002E-3</c:v>
                </c:pt>
                <c:pt idx="12">
                  <c:v>-5.9999999999999995E-4</c:v>
                </c:pt>
                <c:pt idx="13">
                  <c:v>6.1000000000000004E-3</c:v>
                </c:pt>
                <c:pt idx="14">
                  <c:v>8.0999999999999996E-3</c:v>
                </c:pt>
                <c:pt idx="15">
                  <c:v>-2.7000000000000001E-3</c:v>
                </c:pt>
                <c:pt idx="16">
                  <c:v>-3.3999999999999998E-3</c:v>
                </c:pt>
                <c:pt idx="17">
                  <c:v>-8.2000000000000007E-3</c:v>
                </c:pt>
                <c:pt idx="18">
                  <c:v>-1.23E-2</c:v>
                </c:pt>
                <c:pt idx="19">
                  <c:v>-0.03</c:v>
                </c:pt>
                <c:pt idx="20">
                  <c:v>-2.6800000000000001E-2</c:v>
                </c:pt>
                <c:pt idx="21">
                  <c:v>-2.9700000000000001E-2</c:v>
                </c:pt>
                <c:pt idx="22">
                  <c:v>-3.6200000000000003E-2</c:v>
                </c:pt>
                <c:pt idx="23">
                  <c:v>-5.04E-2</c:v>
                </c:pt>
                <c:pt idx="24">
                  <c:v>-0.05</c:v>
                </c:pt>
                <c:pt idx="25">
                  <c:v>-3.5700000000000003E-2</c:v>
                </c:pt>
                <c:pt idx="26">
                  <c:v>-2.2100000000000002E-2</c:v>
                </c:pt>
                <c:pt idx="27">
                  <c:v>-1.38E-2</c:v>
                </c:pt>
                <c:pt idx="28">
                  <c:v>-2.35E-2</c:v>
                </c:pt>
                <c:pt idx="29">
                  <c:v>-2.53E-2</c:v>
                </c:pt>
                <c:pt idx="30">
                  <c:v>-1.72E-2</c:v>
                </c:pt>
                <c:pt idx="31">
                  <c:v>-1.21E-2</c:v>
                </c:pt>
                <c:pt idx="32">
                  <c:v>-7.4999999999999997E-3</c:v>
                </c:pt>
                <c:pt idx="33">
                  <c:v>-1.03E-2</c:v>
                </c:pt>
                <c:pt idx="34">
                  <c:v>-7.4000000000000003E-3</c:v>
                </c:pt>
                <c:pt idx="35">
                  <c:v>-1.9400000000000001E-2</c:v>
                </c:pt>
                <c:pt idx="36">
                  <c:v>-1.1599999999999999E-2</c:v>
                </c:pt>
                <c:pt idx="37">
                  <c:v>-1.8200000000000001E-2</c:v>
                </c:pt>
                <c:pt idx="38">
                  <c:v>-2.5499999999999998E-2</c:v>
                </c:pt>
                <c:pt idx="39">
                  <c:v>-4.7500000000000001E-2</c:v>
                </c:pt>
                <c:pt idx="40">
                  <c:v>-6.9400000000000003E-2</c:v>
                </c:pt>
                <c:pt idx="41">
                  <c:v>-8.6199999999999999E-2</c:v>
                </c:pt>
                <c:pt idx="42">
                  <c:v>-0.1235</c:v>
                </c:pt>
                <c:pt idx="43">
                  <c:v>-0.14430000000000001</c:v>
                </c:pt>
                <c:pt idx="44">
                  <c:v>-0.13600000000000001</c:v>
                </c:pt>
                <c:pt idx="45">
                  <c:v>-0.1472</c:v>
                </c:pt>
                <c:pt idx="46">
                  <c:v>-0.13039999999999999</c:v>
                </c:pt>
                <c:pt idx="47">
                  <c:v>-0.153</c:v>
                </c:pt>
                <c:pt idx="48">
                  <c:v>-0.18429999999999999</c:v>
                </c:pt>
                <c:pt idx="49">
                  <c:v>-0.2621</c:v>
                </c:pt>
                <c:pt idx="50">
                  <c:v>-0.23100000000000001</c:v>
                </c:pt>
                <c:pt idx="51">
                  <c:v>-0.2616</c:v>
                </c:pt>
                <c:pt idx="52">
                  <c:v>-0.33069999999999999</c:v>
                </c:pt>
                <c:pt idx="53">
                  <c:v>-0.30199999999999999</c:v>
                </c:pt>
                <c:pt idx="54">
                  <c:v>-0.36259999999999998</c:v>
                </c:pt>
                <c:pt idx="55">
                  <c:v>-0.33329999999999999</c:v>
                </c:pt>
                <c:pt idx="56">
                  <c:v>-0.36919999999999997</c:v>
                </c:pt>
                <c:pt idx="57">
                  <c:v>-0.36220000000000002</c:v>
                </c:pt>
                <c:pt idx="58">
                  <c:v>-0.36380000000000001</c:v>
                </c:pt>
                <c:pt idx="59">
                  <c:v>-0.38919999999999999</c:v>
                </c:pt>
                <c:pt idx="60">
                  <c:v>-0.3337</c:v>
                </c:pt>
                <c:pt idx="61">
                  <c:v>-0.3135</c:v>
                </c:pt>
                <c:pt idx="62">
                  <c:v>-0.30170000000000002</c:v>
                </c:pt>
                <c:pt idx="63">
                  <c:v>-0.31440000000000001</c:v>
                </c:pt>
                <c:pt idx="64">
                  <c:v>-0.31219999999999998</c:v>
                </c:pt>
                <c:pt idx="65">
                  <c:v>-0.31259999999999999</c:v>
                </c:pt>
              </c:numCache>
            </c:numRef>
          </c:val>
          <c:smooth val="0"/>
          <c:extLst>
            <c:ext xmlns:c16="http://schemas.microsoft.com/office/drawing/2014/chart" uri="{C3380CC4-5D6E-409C-BE32-E72D297353CC}">
              <c16:uniqueId val="{00000001-2F97-476A-BC4B-AB35703CF893}"/>
            </c:ext>
          </c:extLst>
        </c:ser>
        <c:dLbls>
          <c:showLegendKey val="0"/>
          <c:showVal val="0"/>
          <c:showCatName val="0"/>
          <c:showSerName val="0"/>
          <c:showPercent val="0"/>
          <c:showBubbleSize val="0"/>
        </c:dLbls>
        <c:smooth val="0"/>
        <c:axId val="469267424"/>
        <c:axId val="469267816"/>
      </c:lineChart>
      <c:dateAx>
        <c:axId val="469267424"/>
        <c:scaling>
          <c:orientation val="minMax"/>
        </c:scaling>
        <c:delete val="0"/>
        <c:axPos val="b"/>
        <c:numFmt formatCode="[$-809]mmm\ yyyy;@" sourceLinked="0"/>
        <c:majorTickMark val="none"/>
        <c:minorTickMark val="none"/>
        <c:tickLblPos val="low"/>
        <c:spPr>
          <a:noFill/>
          <a:ln w="12700" cap="flat" cmpd="sng" algn="ctr">
            <a:solidFill>
              <a:schemeClr val="tx1"/>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469267816"/>
        <c:crosses val="autoZero"/>
        <c:auto val="1"/>
        <c:lblOffset val="100"/>
        <c:baseTimeUnit val="days"/>
        <c:majorUnit val="1"/>
        <c:majorTimeUnit val="months"/>
      </c:dateAx>
      <c:valAx>
        <c:axId val="469267816"/>
        <c:scaling>
          <c:orientation val="minMax"/>
          <c:min val="-0.4"/>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469267424"/>
        <c:crosses val="autoZero"/>
        <c:crossBetween val="between"/>
      </c:valAx>
      <c:spPr>
        <a:noFill/>
        <a:ln>
          <a:noFill/>
        </a:ln>
        <a:effectLst/>
      </c:spPr>
    </c:plotArea>
    <c:legend>
      <c:legendPos val="b"/>
      <c:layout>
        <c:manualLayout>
          <c:xMode val="edge"/>
          <c:yMode val="edge"/>
          <c:x val="0.25382894826087227"/>
          <c:y val="0.93830538857164869"/>
          <c:w val="0.49234225762891615"/>
          <c:h val="4.39089289027844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GB" sz="1200" b="1" i="0" baseline="0">
                <a:effectLst/>
                <a:latin typeface="Arial" panose="020B0604020202020204" pitchFamily="34" charset="0"/>
                <a:cs typeface="Arial" panose="020B0604020202020204" pitchFamily="34" charset="0"/>
              </a:rPr>
              <a:t>Performance des obligations d'entreprises au 1</a:t>
            </a:r>
            <a:r>
              <a:rPr lang="en-GB" sz="1200" b="1" i="0" baseline="30000">
                <a:effectLst/>
                <a:latin typeface="Arial" panose="020B0604020202020204" pitchFamily="34" charset="0"/>
                <a:cs typeface="Arial" panose="020B0604020202020204" pitchFamily="34" charset="0"/>
              </a:rPr>
              <a:t>er</a:t>
            </a:r>
            <a:r>
              <a:rPr lang="en-GB" sz="1200" b="1" i="0" baseline="0">
                <a:effectLst/>
                <a:latin typeface="Arial" panose="020B0604020202020204" pitchFamily="34" charset="0"/>
                <a:cs typeface="Arial" panose="020B0604020202020204" pitchFamily="34" charset="0"/>
              </a:rPr>
              <a:t> trimestre 2020 : </a:t>
            </a:r>
          </a:p>
          <a:p>
            <a:pPr marL="0" marR="0" lvl="0" indent="0" algn="ctr" defTabSz="914400" rtl="0" eaLnBrk="1" fontAlgn="auto" latinLnBrk="0" hangingPunct="1">
              <a:lnSpc>
                <a:spcPct val="100000"/>
              </a:lnSpc>
              <a:spcBef>
                <a:spcPts val="0"/>
              </a:spcBef>
              <a:spcAft>
                <a:spcPts val="0"/>
              </a:spcAft>
              <a:buClrTx/>
              <a:buSzTx/>
              <a:buFontTx/>
              <a:buNone/>
              <a:tabLst/>
              <a:defRPr sz="1200" b="1">
                <a:solidFill>
                  <a:sysClr val="windowText" lastClr="000000">
                    <a:lumMod val="65000"/>
                    <a:lumOff val="35000"/>
                  </a:sysClr>
                </a:solidFill>
                <a:latin typeface="Arial" panose="020B0604020202020204" pitchFamily="34" charset="0"/>
                <a:cs typeface="Arial" panose="020B0604020202020204" pitchFamily="34" charset="0"/>
              </a:defRPr>
            </a:pPr>
            <a:r>
              <a:rPr lang="en-GB" sz="1200" b="1" i="0" baseline="0">
                <a:effectLst/>
                <a:latin typeface="Arial" panose="020B0604020202020204" pitchFamily="34" charset="0"/>
                <a:cs typeface="Arial" panose="020B0604020202020204" pitchFamily="34" charset="0"/>
              </a:rPr>
              <a:t>"Leaders ESG" et "Retardataires ESG"</a:t>
            </a:r>
            <a:endParaRPr lang="en-US" sz="1200" b="1">
              <a:latin typeface="Arial" panose="020B0604020202020204" pitchFamily="34" charset="0"/>
              <a:cs typeface="Arial" panose="020B0604020202020204" pitchFamily="34" charset="0"/>
            </a:endParaRPr>
          </a:p>
        </c:rich>
      </c:tx>
      <c:layout>
        <c:manualLayout>
          <c:xMode val="edge"/>
          <c:yMode val="edge"/>
          <c:x val="0.15261197436552526"/>
          <c:y val="2.1352291759669968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fr-FR"/>
        </a:p>
      </c:txPr>
    </c:title>
    <c:autoTitleDeleted val="0"/>
    <c:plotArea>
      <c:layout>
        <c:manualLayout>
          <c:layoutTarget val="inner"/>
          <c:xMode val="edge"/>
          <c:yMode val="edge"/>
          <c:x val="6.4618946893550022E-2"/>
          <c:y val="0.19823080016083636"/>
          <c:w val="0.9022523383057095"/>
          <c:h val="0.61651232076086993"/>
        </c:manualLayout>
      </c:layout>
      <c:lineChart>
        <c:grouping val="standard"/>
        <c:varyColors val="0"/>
        <c:ser>
          <c:idx val="2"/>
          <c:order val="0"/>
          <c:tx>
            <c:strRef>
              <c:f>'Barclays global corp agg'!$D$5</c:f>
              <c:strCache>
                <c:ptCount val="1"/>
                <c:pt idx="0">
                  <c:v>Leaders ESG</c:v>
                </c:pt>
              </c:strCache>
            </c:strRef>
          </c:tx>
          <c:spPr>
            <a:ln w="28575" cap="rnd">
              <a:solidFill>
                <a:schemeClr val="accent3"/>
              </a:solidFill>
              <a:round/>
            </a:ln>
            <a:effectLst/>
          </c:spPr>
          <c:marker>
            <c:symbol val="none"/>
          </c:marker>
          <c:cat>
            <c:numRef>
              <c:f>'Barclays global corp agg'!$A$6:$A$71</c:f>
              <c:numCache>
                <c:formatCode>m/d/yyyy</c:formatCode>
                <c:ptCount val="66"/>
                <c:pt idx="0">
                  <c:v>43830</c:v>
                </c:pt>
                <c:pt idx="1">
                  <c:v>43831</c:v>
                </c:pt>
                <c:pt idx="2">
                  <c:v>43832</c:v>
                </c:pt>
                <c:pt idx="3">
                  <c:v>43833</c:v>
                </c:pt>
                <c:pt idx="4">
                  <c:v>43836</c:v>
                </c:pt>
                <c:pt idx="5">
                  <c:v>43837</c:v>
                </c:pt>
                <c:pt idx="6">
                  <c:v>43838</c:v>
                </c:pt>
                <c:pt idx="7">
                  <c:v>43839</c:v>
                </c:pt>
                <c:pt idx="8">
                  <c:v>43840</c:v>
                </c:pt>
                <c:pt idx="9">
                  <c:v>43843</c:v>
                </c:pt>
                <c:pt idx="10">
                  <c:v>43844</c:v>
                </c:pt>
                <c:pt idx="11">
                  <c:v>43845</c:v>
                </c:pt>
                <c:pt idx="12">
                  <c:v>43846</c:v>
                </c:pt>
                <c:pt idx="13">
                  <c:v>43847</c:v>
                </c:pt>
                <c:pt idx="14">
                  <c:v>43850</c:v>
                </c:pt>
                <c:pt idx="15">
                  <c:v>43851</c:v>
                </c:pt>
                <c:pt idx="16">
                  <c:v>43852</c:v>
                </c:pt>
                <c:pt idx="17">
                  <c:v>43853</c:v>
                </c:pt>
                <c:pt idx="18">
                  <c:v>43854</c:v>
                </c:pt>
                <c:pt idx="19">
                  <c:v>43857</c:v>
                </c:pt>
                <c:pt idx="20">
                  <c:v>43858</c:v>
                </c:pt>
                <c:pt idx="21">
                  <c:v>43859</c:v>
                </c:pt>
                <c:pt idx="22">
                  <c:v>43860</c:v>
                </c:pt>
                <c:pt idx="23">
                  <c:v>43861</c:v>
                </c:pt>
                <c:pt idx="24">
                  <c:v>43864</c:v>
                </c:pt>
                <c:pt idx="25">
                  <c:v>43865</c:v>
                </c:pt>
                <c:pt idx="26">
                  <c:v>43866</c:v>
                </c:pt>
                <c:pt idx="27">
                  <c:v>43867</c:v>
                </c:pt>
                <c:pt idx="28">
                  <c:v>43868</c:v>
                </c:pt>
                <c:pt idx="29">
                  <c:v>43871</c:v>
                </c:pt>
                <c:pt idx="30">
                  <c:v>43872</c:v>
                </c:pt>
                <c:pt idx="31">
                  <c:v>43873</c:v>
                </c:pt>
                <c:pt idx="32">
                  <c:v>43874</c:v>
                </c:pt>
                <c:pt idx="33">
                  <c:v>43875</c:v>
                </c:pt>
                <c:pt idx="34">
                  <c:v>43878</c:v>
                </c:pt>
                <c:pt idx="35">
                  <c:v>43879</c:v>
                </c:pt>
                <c:pt idx="36">
                  <c:v>43880</c:v>
                </c:pt>
                <c:pt idx="37">
                  <c:v>43881</c:v>
                </c:pt>
                <c:pt idx="38">
                  <c:v>43882</c:v>
                </c:pt>
                <c:pt idx="39">
                  <c:v>43885</c:v>
                </c:pt>
                <c:pt idx="40">
                  <c:v>43886</c:v>
                </c:pt>
                <c:pt idx="41">
                  <c:v>43887</c:v>
                </c:pt>
                <c:pt idx="42">
                  <c:v>43888</c:v>
                </c:pt>
                <c:pt idx="43">
                  <c:v>43889</c:v>
                </c:pt>
                <c:pt idx="44">
                  <c:v>43892</c:v>
                </c:pt>
                <c:pt idx="45">
                  <c:v>43893</c:v>
                </c:pt>
                <c:pt idx="46">
                  <c:v>43894</c:v>
                </c:pt>
                <c:pt idx="47">
                  <c:v>43895</c:v>
                </c:pt>
                <c:pt idx="48">
                  <c:v>43896</c:v>
                </c:pt>
                <c:pt idx="49">
                  <c:v>43899</c:v>
                </c:pt>
                <c:pt idx="50">
                  <c:v>43900</c:v>
                </c:pt>
                <c:pt idx="51">
                  <c:v>43901</c:v>
                </c:pt>
                <c:pt idx="52">
                  <c:v>43902</c:v>
                </c:pt>
                <c:pt idx="53">
                  <c:v>43903</c:v>
                </c:pt>
                <c:pt idx="54">
                  <c:v>43906</c:v>
                </c:pt>
                <c:pt idx="55">
                  <c:v>43907</c:v>
                </c:pt>
                <c:pt idx="56">
                  <c:v>43908</c:v>
                </c:pt>
                <c:pt idx="57">
                  <c:v>43909</c:v>
                </c:pt>
                <c:pt idx="58">
                  <c:v>43910</c:v>
                </c:pt>
                <c:pt idx="59">
                  <c:v>43913</c:v>
                </c:pt>
                <c:pt idx="60">
                  <c:v>43914</c:v>
                </c:pt>
                <c:pt idx="61">
                  <c:v>43915</c:v>
                </c:pt>
                <c:pt idx="62">
                  <c:v>43916</c:v>
                </c:pt>
                <c:pt idx="63">
                  <c:v>43917</c:v>
                </c:pt>
                <c:pt idx="64">
                  <c:v>43920</c:v>
                </c:pt>
                <c:pt idx="65">
                  <c:v>43921</c:v>
                </c:pt>
              </c:numCache>
            </c:numRef>
          </c:cat>
          <c:val>
            <c:numRef>
              <c:f>'Barclays global corp agg'!$D$6:$D$71</c:f>
              <c:numCache>
                <c:formatCode>0.0%</c:formatCode>
                <c:ptCount val="66"/>
                <c:pt idx="0">
                  <c:v>0</c:v>
                </c:pt>
                <c:pt idx="1">
                  <c:v>0</c:v>
                </c:pt>
                <c:pt idx="2">
                  <c:v>3.7000000000000002E-3</c:v>
                </c:pt>
                <c:pt idx="3">
                  <c:v>1.0200000000000001E-2</c:v>
                </c:pt>
                <c:pt idx="4">
                  <c:v>7.0000000000000001E-3</c:v>
                </c:pt>
                <c:pt idx="5">
                  <c:v>8.5000000000000006E-3</c:v>
                </c:pt>
                <c:pt idx="6">
                  <c:v>7.0000000000000001E-3</c:v>
                </c:pt>
                <c:pt idx="7">
                  <c:v>8.9999999999999993E-3</c:v>
                </c:pt>
                <c:pt idx="8">
                  <c:v>1.14E-2</c:v>
                </c:pt>
                <c:pt idx="9">
                  <c:v>8.6E-3</c:v>
                </c:pt>
                <c:pt idx="10">
                  <c:v>1.11E-2</c:v>
                </c:pt>
                <c:pt idx="11">
                  <c:v>1.1599999999999999E-2</c:v>
                </c:pt>
                <c:pt idx="12">
                  <c:v>1.24E-2</c:v>
                </c:pt>
                <c:pt idx="13">
                  <c:v>1.4999999999999999E-2</c:v>
                </c:pt>
                <c:pt idx="14">
                  <c:v>1.5800000000000002E-2</c:v>
                </c:pt>
                <c:pt idx="15">
                  <c:v>1.9199999999999998E-2</c:v>
                </c:pt>
                <c:pt idx="16">
                  <c:v>2.2200000000000001E-2</c:v>
                </c:pt>
                <c:pt idx="17">
                  <c:v>2.6100000000000002E-2</c:v>
                </c:pt>
                <c:pt idx="18">
                  <c:v>3.0200000000000001E-2</c:v>
                </c:pt>
                <c:pt idx="19">
                  <c:v>3.3300000000000003E-2</c:v>
                </c:pt>
                <c:pt idx="20">
                  <c:v>3.1600000000000003E-2</c:v>
                </c:pt>
                <c:pt idx="21">
                  <c:v>3.4700000000000002E-2</c:v>
                </c:pt>
                <c:pt idx="22">
                  <c:v>3.3099999999999997E-2</c:v>
                </c:pt>
                <c:pt idx="23">
                  <c:v>3.1600000000000003E-2</c:v>
                </c:pt>
                <c:pt idx="24">
                  <c:v>3.27E-2</c:v>
                </c:pt>
                <c:pt idx="25">
                  <c:v>3.0200000000000001E-2</c:v>
                </c:pt>
                <c:pt idx="26">
                  <c:v>3.0499999999999999E-2</c:v>
                </c:pt>
                <c:pt idx="27">
                  <c:v>3.3300000000000003E-2</c:v>
                </c:pt>
                <c:pt idx="28">
                  <c:v>3.8199999999999998E-2</c:v>
                </c:pt>
                <c:pt idx="29">
                  <c:v>4.24E-2</c:v>
                </c:pt>
                <c:pt idx="30">
                  <c:v>4.1399999999999999E-2</c:v>
                </c:pt>
                <c:pt idx="31">
                  <c:v>4.1200000000000001E-2</c:v>
                </c:pt>
                <c:pt idx="32">
                  <c:v>4.5600000000000002E-2</c:v>
                </c:pt>
                <c:pt idx="33">
                  <c:v>4.7699999999999999E-2</c:v>
                </c:pt>
                <c:pt idx="34">
                  <c:v>4.8899999999999999E-2</c:v>
                </c:pt>
                <c:pt idx="35">
                  <c:v>5.1400000000000001E-2</c:v>
                </c:pt>
                <c:pt idx="36">
                  <c:v>5.28E-2</c:v>
                </c:pt>
                <c:pt idx="37">
                  <c:v>5.3600000000000002E-2</c:v>
                </c:pt>
                <c:pt idx="38">
                  <c:v>5.2900000000000003E-2</c:v>
                </c:pt>
                <c:pt idx="39">
                  <c:v>5.4600000000000003E-2</c:v>
                </c:pt>
                <c:pt idx="40">
                  <c:v>5.5500000000000001E-2</c:v>
                </c:pt>
                <c:pt idx="41">
                  <c:v>5.4199999999999998E-2</c:v>
                </c:pt>
                <c:pt idx="42">
                  <c:v>4.3299999999999998E-2</c:v>
                </c:pt>
                <c:pt idx="43">
                  <c:v>4.65E-2</c:v>
                </c:pt>
                <c:pt idx="44">
                  <c:v>3.6499999999999998E-2</c:v>
                </c:pt>
                <c:pt idx="45">
                  <c:v>3.7600000000000001E-2</c:v>
                </c:pt>
                <c:pt idx="46">
                  <c:v>4.1599999999999998E-2</c:v>
                </c:pt>
                <c:pt idx="47">
                  <c:v>4.1399999999999999E-2</c:v>
                </c:pt>
                <c:pt idx="48">
                  <c:v>4.2799999999999998E-2</c:v>
                </c:pt>
                <c:pt idx="49">
                  <c:v>3.0700000000000002E-2</c:v>
                </c:pt>
                <c:pt idx="50">
                  <c:v>1.8100000000000002E-2</c:v>
                </c:pt>
                <c:pt idx="51">
                  <c:v>1.4200000000000001E-2</c:v>
                </c:pt>
                <c:pt idx="52">
                  <c:v>8.0000000000000002E-3</c:v>
                </c:pt>
                <c:pt idx="53">
                  <c:v>-2.3999999999999998E-3</c:v>
                </c:pt>
                <c:pt idx="54">
                  <c:v>-1.0200000000000001E-2</c:v>
                </c:pt>
                <c:pt idx="55">
                  <c:v>-2.12E-2</c:v>
                </c:pt>
                <c:pt idx="56">
                  <c:v>-4.65E-2</c:v>
                </c:pt>
                <c:pt idx="57">
                  <c:v>-4.7399999999999998E-2</c:v>
                </c:pt>
                <c:pt idx="58">
                  <c:v>-4.6600000000000003E-2</c:v>
                </c:pt>
                <c:pt idx="59">
                  <c:v>-5.0299999999999997E-2</c:v>
                </c:pt>
                <c:pt idx="60">
                  <c:v>-4.7500000000000001E-2</c:v>
                </c:pt>
                <c:pt idx="61">
                  <c:v>-4.0099999999999997E-2</c:v>
                </c:pt>
                <c:pt idx="62">
                  <c:v>-3.95E-2</c:v>
                </c:pt>
                <c:pt idx="63">
                  <c:v>-3.3399999999999999E-2</c:v>
                </c:pt>
                <c:pt idx="64">
                  <c:v>-2.35E-2</c:v>
                </c:pt>
                <c:pt idx="65">
                  <c:v>-1.7600000000000001E-2</c:v>
                </c:pt>
              </c:numCache>
            </c:numRef>
          </c:val>
          <c:smooth val="0"/>
          <c:extLst>
            <c:ext xmlns:c16="http://schemas.microsoft.com/office/drawing/2014/chart" uri="{C3380CC4-5D6E-409C-BE32-E72D297353CC}">
              <c16:uniqueId val="{00000000-E90A-49C5-91A8-18E7DC4F0C46}"/>
            </c:ext>
          </c:extLst>
        </c:ser>
        <c:ser>
          <c:idx val="1"/>
          <c:order val="1"/>
          <c:tx>
            <c:strRef>
              <c:f>'Barclays global corp agg'!$C$5</c:f>
              <c:strCache>
                <c:ptCount val="1"/>
                <c:pt idx="0">
                  <c:v>Retardataires ESG</c:v>
                </c:pt>
              </c:strCache>
            </c:strRef>
          </c:tx>
          <c:spPr>
            <a:ln w="28575" cap="rnd">
              <a:solidFill>
                <a:schemeClr val="accent2"/>
              </a:solidFill>
              <a:round/>
            </a:ln>
            <a:effectLst/>
          </c:spPr>
          <c:marker>
            <c:symbol val="none"/>
          </c:marker>
          <c:cat>
            <c:numRef>
              <c:f>'Barclays global corp agg'!$A$6:$A$71</c:f>
              <c:numCache>
                <c:formatCode>m/d/yyyy</c:formatCode>
                <c:ptCount val="66"/>
                <c:pt idx="0">
                  <c:v>43830</c:v>
                </c:pt>
                <c:pt idx="1">
                  <c:v>43831</c:v>
                </c:pt>
                <c:pt idx="2">
                  <c:v>43832</c:v>
                </c:pt>
                <c:pt idx="3">
                  <c:v>43833</c:v>
                </c:pt>
                <c:pt idx="4">
                  <c:v>43836</c:v>
                </c:pt>
                <c:pt idx="5">
                  <c:v>43837</c:v>
                </c:pt>
                <c:pt idx="6">
                  <c:v>43838</c:v>
                </c:pt>
                <c:pt idx="7">
                  <c:v>43839</c:v>
                </c:pt>
                <c:pt idx="8">
                  <c:v>43840</c:v>
                </c:pt>
                <c:pt idx="9">
                  <c:v>43843</c:v>
                </c:pt>
                <c:pt idx="10">
                  <c:v>43844</c:v>
                </c:pt>
                <c:pt idx="11">
                  <c:v>43845</c:v>
                </c:pt>
                <c:pt idx="12">
                  <c:v>43846</c:v>
                </c:pt>
                <c:pt idx="13">
                  <c:v>43847</c:v>
                </c:pt>
                <c:pt idx="14">
                  <c:v>43850</c:v>
                </c:pt>
                <c:pt idx="15">
                  <c:v>43851</c:v>
                </c:pt>
                <c:pt idx="16">
                  <c:v>43852</c:v>
                </c:pt>
                <c:pt idx="17">
                  <c:v>43853</c:v>
                </c:pt>
                <c:pt idx="18">
                  <c:v>43854</c:v>
                </c:pt>
                <c:pt idx="19">
                  <c:v>43857</c:v>
                </c:pt>
                <c:pt idx="20">
                  <c:v>43858</c:v>
                </c:pt>
                <c:pt idx="21">
                  <c:v>43859</c:v>
                </c:pt>
                <c:pt idx="22">
                  <c:v>43860</c:v>
                </c:pt>
                <c:pt idx="23">
                  <c:v>43861</c:v>
                </c:pt>
                <c:pt idx="24">
                  <c:v>43864</c:v>
                </c:pt>
                <c:pt idx="25">
                  <c:v>43865</c:v>
                </c:pt>
                <c:pt idx="26">
                  <c:v>43866</c:v>
                </c:pt>
                <c:pt idx="27">
                  <c:v>43867</c:v>
                </c:pt>
                <c:pt idx="28">
                  <c:v>43868</c:v>
                </c:pt>
                <c:pt idx="29">
                  <c:v>43871</c:v>
                </c:pt>
                <c:pt idx="30">
                  <c:v>43872</c:v>
                </c:pt>
                <c:pt idx="31">
                  <c:v>43873</c:v>
                </c:pt>
                <c:pt idx="32">
                  <c:v>43874</c:v>
                </c:pt>
                <c:pt idx="33">
                  <c:v>43875</c:v>
                </c:pt>
                <c:pt idx="34">
                  <c:v>43878</c:v>
                </c:pt>
                <c:pt idx="35">
                  <c:v>43879</c:v>
                </c:pt>
                <c:pt idx="36">
                  <c:v>43880</c:v>
                </c:pt>
                <c:pt idx="37">
                  <c:v>43881</c:v>
                </c:pt>
                <c:pt idx="38">
                  <c:v>43882</c:v>
                </c:pt>
                <c:pt idx="39">
                  <c:v>43885</c:v>
                </c:pt>
                <c:pt idx="40">
                  <c:v>43886</c:v>
                </c:pt>
                <c:pt idx="41">
                  <c:v>43887</c:v>
                </c:pt>
                <c:pt idx="42">
                  <c:v>43888</c:v>
                </c:pt>
                <c:pt idx="43">
                  <c:v>43889</c:v>
                </c:pt>
                <c:pt idx="44">
                  <c:v>43892</c:v>
                </c:pt>
                <c:pt idx="45">
                  <c:v>43893</c:v>
                </c:pt>
                <c:pt idx="46">
                  <c:v>43894</c:v>
                </c:pt>
                <c:pt idx="47">
                  <c:v>43895</c:v>
                </c:pt>
                <c:pt idx="48">
                  <c:v>43896</c:v>
                </c:pt>
                <c:pt idx="49">
                  <c:v>43899</c:v>
                </c:pt>
                <c:pt idx="50">
                  <c:v>43900</c:v>
                </c:pt>
                <c:pt idx="51">
                  <c:v>43901</c:v>
                </c:pt>
                <c:pt idx="52">
                  <c:v>43902</c:v>
                </c:pt>
                <c:pt idx="53">
                  <c:v>43903</c:v>
                </c:pt>
                <c:pt idx="54">
                  <c:v>43906</c:v>
                </c:pt>
                <c:pt idx="55">
                  <c:v>43907</c:v>
                </c:pt>
                <c:pt idx="56">
                  <c:v>43908</c:v>
                </c:pt>
                <c:pt idx="57">
                  <c:v>43909</c:v>
                </c:pt>
                <c:pt idx="58">
                  <c:v>43910</c:v>
                </c:pt>
                <c:pt idx="59">
                  <c:v>43913</c:v>
                </c:pt>
                <c:pt idx="60">
                  <c:v>43914</c:v>
                </c:pt>
                <c:pt idx="61">
                  <c:v>43915</c:v>
                </c:pt>
                <c:pt idx="62">
                  <c:v>43916</c:v>
                </c:pt>
                <c:pt idx="63">
                  <c:v>43917</c:v>
                </c:pt>
                <c:pt idx="64">
                  <c:v>43920</c:v>
                </c:pt>
                <c:pt idx="65">
                  <c:v>43921</c:v>
                </c:pt>
              </c:numCache>
            </c:numRef>
          </c:cat>
          <c:val>
            <c:numRef>
              <c:f>'Barclays global corp agg'!$C$6:$C$71</c:f>
              <c:numCache>
                <c:formatCode>0.0%</c:formatCode>
                <c:ptCount val="66"/>
                <c:pt idx="0">
                  <c:v>0</c:v>
                </c:pt>
                <c:pt idx="1">
                  <c:v>0</c:v>
                </c:pt>
                <c:pt idx="2">
                  <c:v>2.8E-3</c:v>
                </c:pt>
                <c:pt idx="3">
                  <c:v>7.7000000000000002E-3</c:v>
                </c:pt>
                <c:pt idx="4">
                  <c:v>4.7000000000000002E-3</c:v>
                </c:pt>
                <c:pt idx="5">
                  <c:v>6.6E-3</c:v>
                </c:pt>
                <c:pt idx="6">
                  <c:v>6.1000000000000004E-3</c:v>
                </c:pt>
                <c:pt idx="7">
                  <c:v>8.5000000000000006E-3</c:v>
                </c:pt>
                <c:pt idx="8">
                  <c:v>1.0200000000000001E-2</c:v>
                </c:pt>
                <c:pt idx="9">
                  <c:v>7.9000000000000008E-3</c:v>
                </c:pt>
                <c:pt idx="10">
                  <c:v>9.7000000000000003E-3</c:v>
                </c:pt>
                <c:pt idx="11">
                  <c:v>9.5999999999999992E-3</c:v>
                </c:pt>
                <c:pt idx="12">
                  <c:v>1.0800000000000001E-2</c:v>
                </c:pt>
                <c:pt idx="13">
                  <c:v>1.43E-2</c:v>
                </c:pt>
                <c:pt idx="14">
                  <c:v>1.52E-2</c:v>
                </c:pt>
                <c:pt idx="15">
                  <c:v>1.7500000000000002E-2</c:v>
                </c:pt>
                <c:pt idx="16">
                  <c:v>0.02</c:v>
                </c:pt>
                <c:pt idx="17">
                  <c:v>2.29E-2</c:v>
                </c:pt>
                <c:pt idx="18">
                  <c:v>2.5999999999999999E-2</c:v>
                </c:pt>
                <c:pt idx="19">
                  <c:v>2.7699999999999999E-2</c:v>
                </c:pt>
                <c:pt idx="20">
                  <c:v>2.7099999999999999E-2</c:v>
                </c:pt>
                <c:pt idx="21">
                  <c:v>2.9700000000000001E-2</c:v>
                </c:pt>
                <c:pt idx="22">
                  <c:v>2.7099999999999999E-2</c:v>
                </c:pt>
                <c:pt idx="23">
                  <c:v>2.53E-2</c:v>
                </c:pt>
                <c:pt idx="24">
                  <c:v>2.6599999999999999E-2</c:v>
                </c:pt>
                <c:pt idx="25">
                  <c:v>2.5399999999999999E-2</c:v>
                </c:pt>
                <c:pt idx="26">
                  <c:v>2.7E-2</c:v>
                </c:pt>
                <c:pt idx="27">
                  <c:v>2.98E-2</c:v>
                </c:pt>
                <c:pt idx="28">
                  <c:v>3.3300000000000003E-2</c:v>
                </c:pt>
                <c:pt idx="29">
                  <c:v>3.73E-2</c:v>
                </c:pt>
                <c:pt idx="30">
                  <c:v>3.6999999999999998E-2</c:v>
                </c:pt>
                <c:pt idx="31">
                  <c:v>3.7499999999999999E-2</c:v>
                </c:pt>
                <c:pt idx="32">
                  <c:v>4.2000000000000003E-2</c:v>
                </c:pt>
                <c:pt idx="33">
                  <c:v>4.3700000000000003E-2</c:v>
                </c:pt>
                <c:pt idx="34">
                  <c:v>4.4900000000000002E-2</c:v>
                </c:pt>
                <c:pt idx="35">
                  <c:v>4.7100000000000003E-2</c:v>
                </c:pt>
                <c:pt idx="36">
                  <c:v>4.8800000000000003E-2</c:v>
                </c:pt>
                <c:pt idx="37">
                  <c:v>4.9299999999999997E-2</c:v>
                </c:pt>
                <c:pt idx="38">
                  <c:v>4.7899999999999998E-2</c:v>
                </c:pt>
                <c:pt idx="39">
                  <c:v>4.7600000000000003E-2</c:v>
                </c:pt>
                <c:pt idx="40">
                  <c:v>4.7800000000000002E-2</c:v>
                </c:pt>
                <c:pt idx="41">
                  <c:v>4.5900000000000003E-2</c:v>
                </c:pt>
                <c:pt idx="42">
                  <c:v>3.2800000000000003E-2</c:v>
                </c:pt>
                <c:pt idx="43">
                  <c:v>3.2599999999999997E-2</c:v>
                </c:pt>
                <c:pt idx="44">
                  <c:v>2.2100000000000002E-2</c:v>
                </c:pt>
                <c:pt idx="45">
                  <c:v>2.4E-2</c:v>
                </c:pt>
                <c:pt idx="46">
                  <c:v>2.8899999999999999E-2</c:v>
                </c:pt>
                <c:pt idx="47">
                  <c:v>2.6499999999999999E-2</c:v>
                </c:pt>
                <c:pt idx="48">
                  <c:v>1.9599999999999999E-2</c:v>
                </c:pt>
                <c:pt idx="49">
                  <c:v>-1.8E-3</c:v>
                </c:pt>
                <c:pt idx="50">
                  <c:v>-1.52E-2</c:v>
                </c:pt>
                <c:pt idx="51">
                  <c:v>-1.9400000000000001E-2</c:v>
                </c:pt>
                <c:pt idx="52">
                  <c:v>-2.9100000000000001E-2</c:v>
                </c:pt>
                <c:pt idx="53">
                  <c:v>-3.6999999999999998E-2</c:v>
                </c:pt>
                <c:pt idx="54">
                  <c:v>-5.0799999999999998E-2</c:v>
                </c:pt>
                <c:pt idx="55">
                  <c:v>-6.2100000000000002E-2</c:v>
                </c:pt>
                <c:pt idx="56">
                  <c:v>-8.6599999999999996E-2</c:v>
                </c:pt>
                <c:pt idx="57">
                  <c:v>-9.9500000000000005E-2</c:v>
                </c:pt>
                <c:pt idx="58">
                  <c:v>-9.7199999999999995E-2</c:v>
                </c:pt>
                <c:pt idx="59">
                  <c:v>-0.10349999999999999</c:v>
                </c:pt>
                <c:pt idx="60">
                  <c:v>-0.10150000000000001</c:v>
                </c:pt>
                <c:pt idx="61">
                  <c:v>-9.2200000000000004E-2</c:v>
                </c:pt>
                <c:pt idx="62">
                  <c:v>-9.0300000000000005E-2</c:v>
                </c:pt>
                <c:pt idx="63">
                  <c:v>-8.3099999999999993E-2</c:v>
                </c:pt>
                <c:pt idx="64">
                  <c:v>-7.7499999999999999E-2</c:v>
                </c:pt>
                <c:pt idx="65">
                  <c:v>-6.9900000000000004E-2</c:v>
                </c:pt>
              </c:numCache>
            </c:numRef>
          </c:val>
          <c:smooth val="0"/>
          <c:extLst>
            <c:ext xmlns:c16="http://schemas.microsoft.com/office/drawing/2014/chart" uri="{C3380CC4-5D6E-409C-BE32-E72D297353CC}">
              <c16:uniqueId val="{00000001-E90A-49C5-91A8-18E7DC4F0C46}"/>
            </c:ext>
          </c:extLst>
        </c:ser>
        <c:dLbls>
          <c:showLegendKey val="0"/>
          <c:showVal val="0"/>
          <c:showCatName val="0"/>
          <c:showSerName val="0"/>
          <c:showPercent val="0"/>
          <c:showBubbleSize val="0"/>
        </c:dLbls>
        <c:smooth val="0"/>
        <c:axId val="469269384"/>
        <c:axId val="469270168"/>
      </c:lineChart>
      <c:dateAx>
        <c:axId val="469269384"/>
        <c:scaling>
          <c:orientation val="minMax"/>
        </c:scaling>
        <c:delete val="0"/>
        <c:axPos val="b"/>
        <c:numFmt formatCode="[$-809]mmm\ yyyy;@" sourceLinked="0"/>
        <c:majorTickMark val="none"/>
        <c:minorTickMark val="none"/>
        <c:tickLblPos val="low"/>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469270168"/>
        <c:crosses val="autoZero"/>
        <c:auto val="1"/>
        <c:lblOffset val="100"/>
        <c:baseTimeUnit val="days"/>
        <c:majorUnit val="1"/>
        <c:majorTimeUnit val="months"/>
      </c:dateAx>
      <c:valAx>
        <c:axId val="469270168"/>
        <c:scaling>
          <c:orientation val="minMax"/>
          <c:min val="-0.12000000000000001"/>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469269384"/>
        <c:crosses val="autoZero"/>
        <c:crossBetween val="between"/>
      </c:valAx>
      <c:spPr>
        <a:noFill/>
        <a:ln>
          <a:noFill/>
        </a:ln>
        <a:effectLst/>
      </c:spPr>
    </c:plotArea>
    <c:legend>
      <c:legendPos val="b"/>
      <c:layout>
        <c:manualLayout>
          <c:xMode val="edge"/>
          <c:yMode val="edge"/>
          <c:x val="0.314866414863883"/>
          <c:y val="0.93616759907424119"/>
          <c:w val="0.37026701682751512"/>
          <c:h val="4.77487660242710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XA IM">
      <a:dk1>
        <a:sysClr val="windowText" lastClr="000000"/>
      </a:dk1>
      <a:lt1>
        <a:sysClr val="window" lastClr="FFFFFF"/>
      </a:lt1>
      <a:dk2>
        <a:srgbClr val="00008F"/>
      </a:dk2>
      <a:lt2>
        <a:srgbClr val="C1D100"/>
      </a:lt2>
      <a:accent1>
        <a:srgbClr val="027180"/>
      </a:accent1>
      <a:accent2>
        <a:srgbClr val="E196AA"/>
      </a:accent2>
      <a:accent3>
        <a:srgbClr val="00ADC6"/>
      </a:accent3>
      <a:accent4>
        <a:srgbClr val="862567"/>
      </a:accent4>
      <a:accent5>
        <a:srgbClr val="DE6106"/>
      </a:accent5>
      <a:accent6>
        <a:srgbClr val="B5D0EE"/>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XA IM New 2017">
    <a:dk1>
      <a:sysClr val="windowText" lastClr="000000"/>
    </a:dk1>
    <a:lt1>
      <a:sysClr val="window" lastClr="FFFFFF"/>
    </a:lt1>
    <a:dk2>
      <a:srgbClr val="00008F"/>
    </a:dk2>
    <a:lt2>
      <a:srgbClr val="C1D100"/>
    </a:lt2>
    <a:accent1>
      <a:srgbClr val="027180"/>
    </a:accent1>
    <a:accent2>
      <a:srgbClr val="E196AA"/>
    </a:accent2>
    <a:accent3>
      <a:srgbClr val="00AEC6"/>
    </a:accent3>
    <a:accent4>
      <a:srgbClr val="862567"/>
    </a:accent4>
    <a:accent5>
      <a:srgbClr val="DE6106"/>
    </a:accent5>
    <a:accent6>
      <a:srgbClr val="B5D0EE"/>
    </a:accent6>
    <a:hlink>
      <a:srgbClr val="00008F"/>
    </a:hlink>
    <a:folHlink>
      <a:srgbClr val="BFBFBF"/>
    </a:folHlink>
  </a:clrScheme>
  <a:fontScheme name="AXA IM New 2017">
    <a:majorFont>
      <a:latin typeface="Calibri"/>
      <a:ea typeface=""/>
      <a:cs typeface=""/>
    </a:majorFont>
    <a:minorFont>
      <a:latin typeface="Calibri"/>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AXA IM New 2017">
    <a:dk1>
      <a:sysClr val="windowText" lastClr="000000"/>
    </a:dk1>
    <a:lt1>
      <a:sysClr val="window" lastClr="FFFFFF"/>
    </a:lt1>
    <a:dk2>
      <a:srgbClr val="00008F"/>
    </a:dk2>
    <a:lt2>
      <a:srgbClr val="C1D100"/>
    </a:lt2>
    <a:accent1>
      <a:srgbClr val="027180"/>
    </a:accent1>
    <a:accent2>
      <a:srgbClr val="E196AA"/>
    </a:accent2>
    <a:accent3>
      <a:srgbClr val="00AEC6"/>
    </a:accent3>
    <a:accent4>
      <a:srgbClr val="862567"/>
    </a:accent4>
    <a:accent5>
      <a:srgbClr val="DE6106"/>
    </a:accent5>
    <a:accent6>
      <a:srgbClr val="B5D0EE"/>
    </a:accent6>
    <a:hlink>
      <a:srgbClr val="00008F"/>
    </a:hlink>
    <a:folHlink>
      <a:srgbClr val="BFBFBF"/>
    </a:folHlink>
  </a:clrScheme>
  <a:fontScheme name="AXA IM New 2017">
    <a:majorFont>
      <a:latin typeface="Calibri"/>
      <a:ea typeface=""/>
      <a:cs typeface=""/>
    </a:majorFont>
    <a:minorFont>
      <a:latin typeface="Calibri"/>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7747-979F-465C-823D-2EC0FA79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9966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2020-04-16T08:59:00Z</dcterms:created>
  <dcterms:modified xsi:type="dcterms:W3CDTF">2020-04-16T17:47:00Z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b89073-f537-4fe2-a4ef-71907f8c184f_Enabled">
    <vt:lpwstr>true</vt:lpwstr>
  </property>
  <property fmtid="{D5CDD505-2E9C-101B-9397-08002B2CF9AE}" pid="3" name="MSIP_Label_f3b89073-f537-4fe2-a4ef-71907f8c184f_SetDate">
    <vt:lpwstr>2020-04-14T11:44:54Z</vt:lpwstr>
  </property>
  <property fmtid="{D5CDD505-2E9C-101B-9397-08002B2CF9AE}" pid="4" name="MSIP_Label_f3b89073-f537-4fe2-a4ef-71907f8c184f_Method">
    <vt:lpwstr>Standard</vt:lpwstr>
  </property>
  <property fmtid="{D5CDD505-2E9C-101B-9397-08002B2CF9AE}" pid="5" name="MSIP_Label_f3b89073-f537-4fe2-a4ef-71907f8c184f_Name">
    <vt:lpwstr>INTERNAL</vt:lpwstr>
  </property>
  <property fmtid="{D5CDD505-2E9C-101B-9397-08002B2CF9AE}" pid="6" name="MSIP_Label_f3b89073-f537-4fe2-a4ef-71907f8c184f_SiteId">
    <vt:lpwstr>85f3dce2-9de5-43ba-8d73-76ef63954d34</vt:lpwstr>
  </property>
  <property fmtid="{D5CDD505-2E9C-101B-9397-08002B2CF9AE}" pid="7" name="MSIP_Label_f3b89073-f537-4fe2-a4ef-71907f8c184f_ActionId">
    <vt:lpwstr>4ada538a-483b-4bb4-afee-0000f9fc0988</vt:lpwstr>
  </property>
  <property fmtid="{D5CDD505-2E9C-101B-9397-08002B2CF9AE}" pid="8" name="MSIP_Label_f3b89073-f537-4fe2-a4ef-71907f8c184f_ContentBits">
    <vt:lpwstr>2</vt:lpwstr>
  </property>
</Properties>
</file>